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9AA13B" w14:textId="77B26AA7" w:rsidR="00E47028" w:rsidRPr="00D17BF0" w:rsidRDefault="004F12C2" w:rsidP="00D17BF0">
      <w:pPr>
        <w:spacing w:before="100" w:beforeAutospacing="1" w:after="100" w:afterAutospacing="1" w:line="240" w:lineRule="auto"/>
        <w:jc w:val="center"/>
        <w:outlineLvl w:val="2"/>
        <w:rPr>
          <w:rFonts w:eastAsia="Times New Roman" w:cstheme="minorHAnsi"/>
          <w:b/>
          <w:bCs/>
          <w:sz w:val="32"/>
          <w:szCs w:val="32"/>
        </w:rPr>
      </w:pPr>
      <w:r w:rsidRPr="00A647F1">
        <w:rPr>
          <w:rFonts w:eastAsia="Times New Roman" w:cstheme="minorHAnsi"/>
          <w:b/>
          <w:bCs/>
          <w:sz w:val="32"/>
          <w:szCs w:val="32"/>
        </w:rPr>
        <w:t xml:space="preserve">Permex Petroleum </w:t>
      </w:r>
      <w:r>
        <w:rPr>
          <w:rFonts w:eastAsia="Times New Roman" w:cstheme="minorHAnsi"/>
          <w:b/>
          <w:bCs/>
          <w:sz w:val="32"/>
          <w:szCs w:val="32"/>
        </w:rPr>
        <w:t xml:space="preserve">Announces </w:t>
      </w:r>
      <w:r w:rsidR="00C45D65">
        <w:rPr>
          <w:rFonts w:eastAsia="Times New Roman" w:cstheme="minorHAnsi"/>
          <w:b/>
          <w:bCs/>
          <w:sz w:val="32"/>
          <w:szCs w:val="32"/>
        </w:rPr>
        <w:t xml:space="preserve">Appointment </w:t>
      </w:r>
      <w:r>
        <w:rPr>
          <w:rFonts w:eastAsia="Times New Roman" w:cstheme="minorHAnsi"/>
          <w:b/>
          <w:bCs/>
          <w:sz w:val="32"/>
          <w:szCs w:val="32"/>
        </w:rPr>
        <w:t>of</w:t>
      </w:r>
      <w:r w:rsidR="00C45D65">
        <w:rPr>
          <w:rFonts w:eastAsia="Times New Roman" w:cstheme="minorHAnsi"/>
          <w:b/>
          <w:bCs/>
          <w:sz w:val="32"/>
          <w:szCs w:val="32"/>
        </w:rPr>
        <w:t xml:space="preserve"> </w:t>
      </w:r>
      <w:r w:rsidR="003C0AAC">
        <w:rPr>
          <w:rFonts w:eastAsia="Times New Roman" w:cstheme="minorHAnsi"/>
          <w:b/>
          <w:bCs/>
          <w:sz w:val="32"/>
          <w:szCs w:val="32"/>
        </w:rPr>
        <w:t>N</w:t>
      </w:r>
      <w:r w:rsidR="00C45D65">
        <w:rPr>
          <w:rFonts w:eastAsia="Times New Roman" w:cstheme="minorHAnsi"/>
          <w:b/>
          <w:bCs/>
          <w:sz w:val="32"/>
          <w:szCs w:val="32"/>
        </w:rPr>
        <w:t>ew President and</w:t>
      </w:r>
      <w:r>
        <w:rPr>
          <w:rFonts w:eastAsia="Times New Roman" w:cstheme="minorHAnsi"/>
          <w:b/>
          <w:bCs/>
          <w:sz w:val="32"/>
          <w:szCs w:val="32"/>
        </w:rPr>
        <w:t xml:space="preserve"> </w:t>
      </w:r>
      <w:r w:rsidR="00F1335C">
        <w:rPr>
          <w:rFonts w:eastAsia="Times New Roman" w:cstheme="minorHAnsi"/>
          <w:b/>
          <w:bCs/>
          <w:sz w:val="32"/>
          <w:szCs w:val="32"/>
        </w:rPr>
        <w:t>Chief Executive Officer</w:t>
      </w:r>
    </w:p>
    <w:p w14:paraId="4045BC9C" w14:textId="35754116" w:rsidR="00F1335C" w:rsidRDefault="004F12C2" w:rsidP="000330F3">
      <w:pPr>
        <w:spacing w:before="100" w:beforeAutospacing="1" w:after="100" w:afterAutospacing="1" w:line="240" w:lineRule="auto"/>
        <w:jc w:val="both"/>
        <w:rPr>
          <w:rFonts w:cstheme="minorHAnsi"/>
        </w:rPr>
      </w:pPr>
      <w:r w:rsidRPr="00A647F1">
        <w:rPr>
          <w:rStyle w:val="Strong"/>
          <w:rFonts w:cstheme="minorHAnsi"/>
        </w:rPr>
        <w:t xml:space="preserve">Vancouver, British Columbia, </w:t>
      </w:r>
      <w:r w:rsidR="003C6B3A">
        <w:rPr>
          <w:rStyle w:val="Strong"/>
          <w:rFonts w:cstheme="minorHAnsi"/>
        </w:rPr>
        <w:t>May</w:t>
      </w:r>
      <w:r w:rsidR="006E2840">
        <w:rPr>
          <w:rStyle w:val="Strong"/>
          <w:rFonts w:cstheme="minorHAnsi"/>
        </w:rPr>
        <w:t xml:space="preserve"> </w:t>
      </w:r>
      <w:r w:rsidR="003C6B3A">
        <w:rPr>
          <w:rStyle w:val="Strong"/>
          <w:rFonts w:cstheme="minorHAnsi"/>
        </w:rPr>
        <w:t>1</w:t>
      </w:r>
      <w:r w:rsidR="003C6B3A" w:rsidRPr="003C6B3A">
        <w:rPr>
          <w:rStyle w:val="Strong"/>
          <w:rFonts w:cstheme="minorHAnsi"/>
          <w:vertAlign w:val="superscript"/>
        </w:rPr>
        <w:t>st</w:t>
      </w:r>
      <w:r w:rsidR="006E2840">
        <w:rPr>
          <w:rStyle w:val="Strong"/>
          <w:rFonts w:cstheme="minorHAnsi"/>
        </w:rPr>
        <w:t xml:space="preserve">, </w:t>
      </w:r>
      <w:r w:rsidRPr="00C27B40">
        <w:rPr>
          <w:rStyle w:val="Strong"/>
          <w:rFonts w:cstheme="minorHAnsi"/>
        </w:rPr>
        <w:t>202</w:t>
      </w:r>
      <w:r w:rsidR="006E2840">
        <w:rPr>
          <w:rStyle w:val="Strong"/>
          <w:rFonts w:cstheme="minorHAnsi"/>
        </w:rPr>
        <w:t>4</w:t>
      </w:r>
      <w:r w:rsidRPr="00C27B40">
        <w:rPr>
          <w:rStyle w:val="Strong"/>
          <w:rFonts w:cstheme="minorHAnsi"/>
        </w:rPr>
        <w:t xml:space="preserve">– </w:t>
      </w:r>
      <w:r w:rsidRPr="00C27B40">
        <w:rPr>
          <w:rFonts w:cstheme="minorHAnsi"/>
        </w:rPr>
        <w:t>Permex Petroleum Corporation (CSE: OIL) (OTCQB: OILCF) (FSE: 75P) ("</w:t>
      </w:r>
      <w:r w:rsidRPr="00C27B40">
        <w:rPr>
          <w:rStyle w:val="Strong"/>
          <w:rFonts w:cstheme="minorHAnsi"/>
        </w:rPr>
        <w:t>Permex</w:t>
      </w:r>
      <w:r w:rsidRPr="00C27B40">
        <w:rPr>
          <w:rFonts w:cstheme="minorHAnsi"/>
        </w:rPr>
        <w:t>" or the "</w:t>
      </w:r>
      <w:r w:rsidRPr="00C27B40">
        <w:rPr>
          <w:rStyle w:val="Strong"/>
          <w:rFonts w:cstheme="minorHAnsi"/>
        </w:rPr>
        <w:t>Company</w:t>
      </w:r>
      <w:r w:rsidRPr="00C27B40">
        <w:rPr>
          <w:rFonts w:cstheme="minorHAnsi"/>
        </w:rPr>
        <w:t xml:space="preserve">") </w:t>
      </w:r>
      <w:r w:rsidR="00FE4CE2" w:rsidRPr="00FE4CE2">
        <w:rPr>
          <w:rFonts w:cstheme="minorHAnsi"/>
        </w:rPr>
        <w:t xml:space="preserve">announced today </w:t>
      </w:r>
      <w:r w:rsidR="00F1335C">
        <w:rPr>
          <w:rFonts w:cstheme="minorHAnsi"/>
        </w:rPr>
        <w:t xml:space="preserve">the appointment of </w:t>
      </w:r>
      <w:r w:rsidR="00AB798F">
        <w:rPr>
          <w:rFonts w:cstheme="minorHAnsi"/>
        </w:rPr>
        <w:t xml:space="preserve">Mr. </w:t>
      </w:r>
      <w:r w:rsidR="0077726F">
        <w:rPr>
          <w:rFonts w:cstheme="minorHAnsi"/>
        </w:rPr>
        <w:t>Brad</w:t>
      </w:r>
      <w:r w:rsidR="0099630A">
        <w:rPr>
          <w:rFonts w:cstheme="minorHAnsi"/>
        </w:rPr>
        <w:t>ley</w:t>
      </w:r>
      <w:r w:rsidR="0077726F">
        <w:rPr>
          <w:rFonts w:cstheme="minorHAnsi"/>
        </w:rPr>
        <w:t xml:space="preserve"> Taillon by the </w:t>
      </w:r>
      <w:r w:rsidR="00FE4CE2" w:rsidRPr="00FE4CE2">
        <w:rPr>
          <w:rFonts w:cstheme="minorHAnsi"/>
        </w:rPr>
        <w:t xml:space="preserve">Board of Directors as </w:t>
      </w:r>
      <w:r w:rsidR="0077726F">
        <w:rPr>
          <w:rFonts w:cstheme="minorHAnsi"/>
        </w:rPr>
        <w:t xml:space="preserve">the new </w:t>
      </w:r>
      <w:r w:rsidR="00FE4CE2" w:rsidRPr="00FE4CE2">
        <w:rPr>
          <w:rFonts w:cstheme="minorHAnsi"/>
        </w:rPr>
        <w:t xml:space="preserve">President and </w:t>
      </w:r>
      <w:r w:rsidR="00F1335C">
        <w:rPr>
          <w:rFonts w:cstheme="minorHAnsi"/>
        </w:rPr>
        <w:t>Chief Executive Officer of the C</w:t>
      </w:r>
      <w:r w:rsidR="00FE4CE2" w:rsidRPr="00FE4CE2">
        <w:rPr>
          <w:rFonts w:cstheme="minorHAnsi"/>
        </w:rPr>
        <w:t>ompany</w:t>
      </w:r>
      <w:r w:rsidR="008C2816">
        <w:rPr>
          <w:rFonts w:cstheme="minorHAnsi"/>
        </w:rPr>
        <w:t xml:space="preserve">. </w:t>
      </w:r>
      <w:r w:rsidR="00960AA8">
        <w:rPr>
          <w:rFonts w:cstheme="minorHAnsi"/>
        </w:rPr>
        <w:t xml:space="preserve"> </w:t>
      </w:r>
      <w:r w:rsidR="00F1335C">
        <w:rPr>
          <w:rFonts w:cstheme="minorHAnsi"/>
        </w:rPr>
        <w:t>Mr. Tai</w:t>
      </w:r>
      <w:r w:rsidR="008A1F09">
        <w:rPr>
          <w:rFonts w:cstheme="minorHAnsi"/>
        </w:rPr>
        <w:t>l</w:t>
      </w:r>
      <w:r w:rsidR="00F1335C">
        <w:rPr>
          <w:rFonts w:cstheme="minorHAnsi"/>
        </w:rPr>
        <w:t xml:space="preserve">lon has a wealth of experience </w:t>
      </w:r>
      <w:r w:rsidR="008A1F09">
        <w:rPr>
          <w:rFonts w:cstheme="minorHAnsi"/>
        </w:rPr>
        <w:t>working in operations and finance for</w:t>
      </w:r>
      <w:r w:rsidR="00273A32">
        <w:rPr>
          <w:rFonts w:cstheme="minorHAnsi"/>
        </w:rPr>
        <w:t xml:space="preserve"> both public and private</w:t>
      </w:r>
      <w:r w:rsidR="008A1F09">
        <w:rPr>
          <w:rFonts w:cstheme="minorHAnsi"/>
        </w:rPr>
        <w:t xml:space="preserve"> junior Oil &amp; Gas companies</w:t>
      </w:r>
      <w:r w:rsidR="00773913">
        <w:rPr>
          <w:rFonts w:cstheme="minorHAnsi"/>
        </w:rPr>
        <w:t>,</w:t>
      </w:r>
      <w:r w:rsidR="008A1F09">
        <w:rPr>
          <w:rFonts w:cstheme="minorHAnsi"/>
        </w:rPr>
        <w:t xml:space="preserve"> particularly those focused on US and Permian Basin growth and development. </w:t>
      </w:r>
      <w:r w:rsidR="00960AA8">
        <w:rPr>
          <w:rFonts w:cstheme="minorHAnsi"/>
        </w:rPr>
        <w:t xml:space="preserve"> </w:t>
      </w:r>
      <w:r w:rsidR="007C74A8">
        <w:rPr>
          <w:rFonts w:cstheme="minorHAnsi"/>
        </w:rPr>
        <w:t>Mr. Taillon’s appointment follows the resignation of</w:t>
      </w:r>
      <w:r w:rsidR="00D07D77">
        <w:rPr>
          <w:rFonts w:cstheme="minorHAnsi"/>
        </w:rPr>
        <w:t xml:space="preserve"> Mr.</w:t>
      </w:r>
      <w:r w:rsidR="007C74A8">
        <w:rPr>
          <w:rFonts w:cstheme="minorHAnsi"/>
        </w:rPr>
        <w:t xml:space="preserve"> Mehran Ehsan </w:t>
      </w:r>
      <w:r w:rsidR="003769DD">
        <w:rPr>
          <w:rFonts w:cstheme="minorHAnsi"/>
        </w:rPr>
        <w:t xml:space="preserve">who </w:t>
      </w:r>
      <w:r w:rsidR="00F1335C">
        <w:rPr>
          <w:rFonts w:cstheme="minorHAnsi"/>
        </w:rPr>
        <w:t>shall continue to serve as</w:t>
      </w:r>
      <w:r w:rsidR="003769DD">
        <w:rPr>
          <w:rFonts w:cstheme="minorHAnsi"/>
        </w:rPr>
        <w:t xml:space="preserve"> a member of the Board of Directors</w:t>
      </w:r>
      <w:r w:rsidR="001B70C7">
        <w:rPr>
          <w:rFonts w:cstheme="minorHAnsi"/>
        </w:rPr>
        <w:t xml:space="preserve"> </w:t>
      </w:r>
      <w:r w:rsidR="00F1335C">
        <w:rPr>
          <w:rFonts w:cstheme="minorHAnsi"/>
        </w:rPr>
        <w:t xml:space="preserve">and </w:t>
      </w:r>
      <w:r w:rsidR="001B70C7" w:rsidRPr="001B70C7">
        <w:rPr>
          <w:rFonts w:cstheme="minorHAnsi"/>
        </w:rPr>
        <w:t>Vice President of Business Development</w:t>
      </w:r>
      <w:r w:rsidR="00535BAC">
        <w:rPr>
          <w:rFonts w:cstheme="minorHAnsi"/>
        </w:rPr>
        <w:t xml:space="preserve">. </w:t>
      </w:r>
      <w:r w:rsidR="00960AA8">
        <w:rPr>
          <w:rFonts w:cstheme="minorHAnsi"/>
        </w:rPr>
        <w:t xml:space="preserve"> </w:t>
      </w:r>
      <w:r w:rsidR="00F1335C">
        <w:rPr>
          <w:rFonts w:cstheme="minorHAnsi"/>
        </w:rPr>
        <w:t>A</w:t>
      </w:r>
      <w:r w:rsidR="001B70C7" w:rsidRPr="001B70C7">
        <w:rPr>
          <w:rFonts w:cstheme="minorHAnsi"/>
        </w:rPr>
        <w:t xml:space="preserve">s CEO </w:t>
      </w:r>
      <w:r w:rsidR="00F1335C">
        <w:rPr>
          <w:rFonts w:cstheme="minorHAnsi"/>
        </w:rPr>
        <w:t xml:space="preserve">of Permex Petroleum </w:t>
      </w:r>
      <w:r w:rsidR="001B70C7" w:rsidRPr="001B70C7">
        <w:rPr>
          <w:rFonts w:cstheme="minorHAnsi"/>
        </w:rPr>
        <w:t>since the Company’s inception</w:t>
      </w:r>
      <w:r w:rsidR="00F1335C">
        <w:rPr>
          <w:rFonts w:cstheme="minorHAnsi"/>
        </w:rPr>
        <w:t>, Mr. Ehsan</w:t>
      </w:r>
      <w:r w:rsidR="001B70C7" w:rsidRPr="001B70C7">
        <w:rPr>
          <w:rFonts w:cstheme="minorHAnsi"/>
        </w:rPr>
        <w:t xml:space="preserve"> played a prominent role in the </w:t>
      </w:r>
      <w:r w:rsidR="00F1335C">
        <w:rPr>
          <w:rFonts w:cstheme="minorHAnsi"/>
        </w:rPr>
        <w:t xml:space="preserve">Company’s </w:t>
      </w:r>
      <w:r w:rsidR="001B70C7" w:rsidRPr="001B70C7">
        <w:rPr>
          <w:rFonts w:cstheme="minorHAnsi"/>
        </w:rPr>
        <w:t>formation</w:t>
      </w:r>
      <w:r w:rsidR="001B70C7">
        <w:rPr>
          <w:rFonts w:cstheme="minorHAnsi"/>
        </w:rPr>
        <w:t xml:space="preserve"> and</w:t>
      </w:r>
      <w:r w:rsidR="008A1F09">
        <w:rPr>
          <w:rFonts w:cstheme="minorHAnsi"/>
        </w:rPr>
        <w:t xml:space="preserve"> expansion</w:t>
      </w:r>
      <w:r w:rsidR="001B70C7">
        <w:rPr>
          <w:rFonts w:cstheme="minorHAnsi"/>
        </w:rPr>
        <w:t>.</w:t>
      </w:r>
      <w:r w:rsidR="001B70C7" w:rsidRPr="001B70C7">
        <w:rPr>
          <w:rFonts w:cstheme="minorHAnsi"/>
        </w:rPr>
        <w:t xml:space="preserve"> </w:t>
      </w:r>
    </w:p>
    <w:p w14:paraId="1321B7DB" w14:textId="77697145" w:rsidR="008A1F09" w:rsidRDefault="008A1F09" w:rsidP="000330F3">
      <w:pPr>
        <w:spacing w:before="100" w:beforeAutospacing="1" w:after="100" w:afterAutospacing="1" w:line="240" w:lineRule="auto"/>
        <w:jc w:val="both"/>
        <w:rPr>
          <w:rFonts w:cstheme="minorHAnsi"/>
        </w:rPr>
      </w:pPr>
      <w:r>
        <w:rPr>
          <w:rFonts w:cstheme="minorHAnsi"/>
        </w:rPr>
        <w:t xml:space="preserve">Mr. Taillon’s experience </w:t>
      </w:r>
      <w:r w:rsidR="00590CE0">
        <w:rPr>
          <w:rFonts w:cstheme="minorHAnsi"/>
        </w:rPr>
        <w:t>in</w:t>
      </w:r>
      <w:r>
        <w:rPr>
          <w:rFonts w:cstheme="minorHAnsi"/>
        </w:rPr>
        <w:t xml:space="preserve"> junior Oil &amp; Gas operations not only consists of working as a senior manager at the corporate level, but also </w:t>
      </w:r>
      <w:r w:rsidR="00770865">
        <w:rPr>
          <w:rFonts w:cstheme="minorHAnsi"/>
        </w:rPr>
        <w:t>in</w:t>
      </w:r>
      <w:r>
        <w:rPr>
          <w:rFonts w:cstheme="minorHAnsi"/>
        </w:rPr>
        <w:t xml:space="preserve"> the field as </w:t>
      </w:r>
      <w:r w:rsidRPr="008A1F09">
        <w:rPr>
          <w:rFonts w:cstheme="minorHAnsi"/>
        </w:rPr>
        <w:t>a Registered Professional Landman</w:t>
      </w:r>
      <w:r w:rsidR="00770865">
        <w:rPr>
          <w:rFonts w:cstheme="minorHAnsi"/>
        </w:rPr>
        <w:t xml:space="preserve"> with the AAPL.</w:t>
      </w:r>
      <w:r w:rsidR="00960AA8">
        <w:rPr>
          <w:rFonts w:cstheme="minorHAnsi"/>
        </w:rPr>
        <w:t xml:space="preserve"> </w:t>
      </w:r>
      <w:r w:rsidR="00770865">
        <w:rPr>
          <w:rFonts w:cstheme="minorHAnsi"/>
        </w:rPr>
        <w:t xml:space="preserve"> </w:t>
      </w:r>
      <w:r w:rsidR="00590CE0">
        <w:rPr>
          <w:rFonts w:cstheme="minorHAnsi"/>
        </w:rPr>
        <w:t>Brad recently led t</w:t>
      </w:r>
      <w:r w:rsidRPr="008A1F09">
        <w:rPr>
          <w:rFonts w:cstheme="minorHAnsi"/>
        </w:rPr>
        <w:t xml:space="preserve">he M&amp;A </w:t>
      </w:r>
      <w:r w:rsidR="00590CE0">
        <w:rPr>
          <w:rFonts w:cstheme="minorHAnsi"/>
        </w:rPr>
        <w:t>initiative</w:t>
      </w:r>
      <w:r w:rsidRPr="008A1F09">
        <w:rPr>
          <w:rFonts w:cstheme="minorHAnsi"/>
        </w:rPr>
        <w:t xml:space="preserve"> for </w:t>
      </w:r>
      <w:r w:rsidR="00590CE0">
        <w:rPr>
          <w:rFonts w:cstheme="minorHAnsi"/>
        </w:rPr>
        <w:t xml:space="preserve">Ruckus Energy, a private Permian Basin focused junior Oil &amp; Gas </w:t>
      </w:r>
      <w:r w:rsidR="00273A32">
        <w:rPr>
          <w:rFonts w:cstheme="minorHAnsi"/>
        </w:rPr>
        <w:t>c</w:t>
      </w:r>
      <w:r w:rsidR="00273A32" w:rsidRPr="008A1F09">
        <w:rPr>
          <w:rFonts w:cstheme="minorHAnsi"/>
        </w:rPr>
        <w:t>ompany</w:t>
      </w:r>
      <w:r w:rsidRPr="008A1F09">
        <w:rPr>
          <w:rFonts w:cstheme="minorHAnsi"/>
        </w:rPr>
        <w:t xml:space="preserve">, </w:t>
      </w:r>
      <w:r w:rsidR="00273A32">
        <w:rPr>
          <w:rFonts w:cstheme="minorHAnsi"/>
        </w:rPr>
        <w:t xml:space="preserve">where he </w:t>
      </w:r>
      <w:r w:rsidR="00960AA8">
        <w:rPr>
          <w:rFonts w:cstheme="minorHAnsi"/>
        </w:rPr>
        <w:t>played an</w:t>
      </w:r>
      <w:r w:rsidR="00273A32">
        <w:rPr>
          <w:rFonts w:cstheme="minorHAnsi"/>
        </w:rPr>
        <w:t xml:space="preserve"> instrumental</w:t>
      </w:r>
      <w:r w:rsidR="00960AA8">
        <w:rPr>
          <w:rFonts w:cstheme="minorHAnsi"/>
        </w:rPr>
        <w:t xml:space="preserve"> role growing</w:t>
      </w:r>
      <w:r w:rsidR="00273A32">
        <w:rPr>
          <w:rFonts w:cstheme="minorHAnsi"/>
        </w:rPr>
        <w:t xml:space="preserve"> their</w:t>
      </w:r>
      <w:r w:rsidR="00590CE0">
        <w:rPr>
          <w:rFonts w:cstheme="minorHAnsi"/>
        </w:rPr>
        <w:t xml:space="preserve"> assets </w:t>
      </w:r>
      <w:r w:rsidR="00781B05">
        <w:rPr>
          <w:rFonts w:cstheme="minorHAnsi"/>
        </w:rPr>
        <w:t xml:space="preserve">from zero </w:t>
      </w:r>
      <w:r w:rsidR="00590CE0">
        <w:rPr>
          <w:rFonts w:cstheme="minorHAnsi"/>
        </w:rPr>
        <w:t xml:space="preserve">to greater than </w:t>
      </w:r>
      <w:r w:rsidR="00781B05">
        <w:rPr>
          <w:rFonts w:cstheme="minorHAnsi"/>
        </w:rPr>
        <w:t>$130</w:t>
      </w:r>
      <w:r w:rsidR="00590CE0">
        <w:rPr>
          <w:rFonts w:cstheme="minorHAnsi"/>
        </w:rPr>
        <w:t>m in 1P reserves</w:t>
      </w:r>
      <w:r w:rsidRPr="008A1F09">
        <w:rPr>
          <w:rFonts w:cstheme="minorHAnsi"/>
        </w:rPr>
        <w:t xml:space="preserve">. </w:t>
      </w:r>
      <w:r w:rsidR="00960AA8">
        <w:rPr>
          <w:rFonts w:cstheme="minorHAnsi"/>
        </w:rPr>
        <w:t xml:space="preserve"> </w:t>
      </w:r>
      <w:r w:rsidRPr="008A1F09">
        <w:rPr>
          <w:rFonts w:cstheme="minorHAnsi"/>
        </w:rPr>
        <w:t xml:space="preserve">Prior to Ruckus Energy, Brad oversaw the M&amp;A </w:t>
      </w:r>
      <w:r w:rsidR="00590CE0">
        <w:rPr>
          <w:rFonts w:cstheme="minorHAnsi"/>
        </w:rPr>
        <w:t>initiative</w:t>
      </w:r>
      <w:r w:rsidRPr="008A1F09">
        <w:rPr>
          <w:rFonts w:cstheme="minorHAnsi"/>
        </w:rPr>
        <w:t xml:space="preserve"> at Lilis Energy, Inc.</w:t>
      </w:r>
      <w:r w:rsidR="00273A32">
        <w:rPr>
          <w:rFonts w:cstheme="minorHAnsi"/>
        </w:rPr>
        <w:t>, a US publicly listed junior Oil &amp; Gas company also foc</w:t>
      </w:r>
      <w:r w:rsidR="00CA57A2">
        <w:rPr>
          <w:rFonts w:cstheme="minorHAnsi"/>
        </w:rPr>
        <w:t>used on the Permian Basin</w:t>
      </w:r>
      <w:r w:rsidR="00322903">
        <w:rPr>
          <w:rFonts w:cstheme="minorHAnsi"/>
        </w:rPr>
        <w:t>,</w:t>
      </w:r>
      <w:r w:rsidR="00207B53">
        <w:rPr>
          <w:rFonts w:cstheme="minorHAnsi"/>
        </w:rPr>
        <w:t xml:space="preserve"> and contributed to</w:t>
      </w:r>
      <w:r w:rsidR="00CA57A2">
        <w:rPr>
          <w:rFonts w:cstheme="minorHAnsi"/>
        </w:rPr>
        <w:t xml:space="preserve"> </w:t>
      </w:r>
      <w:r w:rsidR="00000A88">
        <w:rPr>
          <w:rFonts w:cstheme="minorHAnsi"/>
        </w:rPr>
        <w:t>Lilis</w:t>
      </w:r>
      <w:r w:rsidR="00207B53">
        <w:rPr>
          <w:rFonts w:cstheme="minorHAnsi"/>
        </w:rPr>
        <w:t xml:space="preserve">’s success </w:t>
      </w:r>
      <w:r w:rsidR="00960AA8">
        <w:rPr>
          <w:rFonts w:cstheme="minorHAnsi"/>
        </w:rPr>
        <w:t>by</w:t>
      </w:r>
      <w:r w:rsidR="00207B53">
        <w:rPr>
          <w:rFonts w:cstheme="minorHAnsi"/>
        </w:rPr>
        <w:t xml:space="preserve"> </w:t>
      </w:r>
      <w:r w:rsidR="002D3AC9">
        <w:rPr>
          <w:rFonts w:cstheme="minorHAnsi"/>
        </w:rPr>
        <w:t>more than doubl</w:t>
      </w:r>
      <w:r w:rsidR="00322903">
        <w:rPr>
          <w:rFonts w:cstheme="minorHAnsi"/>
        </w:rPr>
        <w:t>ing</w:t>
      </w:r>
      <w:r w:rsidR="002D3AC9">
        <w:rPr>
          <w:rFonts w:cstheme="minorHAnsi"/>
        </w:rPr>
        <w:t xml:space="preserve"> its acreage position in the </w:t>
      </w:r>
      <w:r w:rsidR="006216F0">
        <w:rPr>
          <w:rFonts w:cstheme="minorHAnsi"/>
        </w:rPr>
        <w:t>highly competitive Delaware Basin</w:t>
      </w:r>
      <w:r w:rsidR="00207B53">
        <w:rPr>
          <w:rFonts w:cstheme="minorHAnsi"/>
        </w:rPr>
        <w:t xml:space="preserve"> while </w:t>
      </w:r>
      <w:r w:rsidR="00322903">
        <w:rPr>
          <w:rFonts w:cstheme="minorHAnsi"/>
        </w:rPr>
        <w:t>the company’s</w:t>
      </w:r>
      <w:r w:rsidR="00F55934">
        <w:rPr>
          <w:rFonts w:cstheme="minorHAnsi"/>
        </w:rPr>
        <w:t xml:space="preserve"> market </w:t>
      </w:r>
      <w:r w:rsidR="00322903">
        <w:rPr>
          <w:rFonts w:cstheme="minorHAnsi"/>
        </w:rPr>
        <w:t>capitalization grew</w:t>
      </w:r>
      <w:r w:rsidR="00F55934">
        <w:rPr>
          <w:rFonts w:cstheme="minorHAnsi"/>
        </w:rPr>
        <w:t xml:space="preserve"> from </w:t>
      </w:r>
      <w:r w:rsidR="00322903">
        <w:rPr>
          <w:rFonts w:cstheme="minorHAnsi"/>
        </w:rPr>
        <w:t xml:space="preserve">approximately </w:t>
      </w:r>
      <w:r w:rsidR="00F55934">
        <w:rPr>
          <w:rFonts w:cstheme="minorHAnsi"/>
        </w:rPr>
        <w:t>$3</w:t>
      </w:r>
      <w:r w:rsidR="00960AA8">
        <w:rPr>
          <w:rFonts w:cstheme="minorHAnsi"/>
        </w:rPr>
        <w:t xml:space="preserve"> million</w:t>
      </w:r>
      <w:r w:rsidR="00F55934">
        <w:rPr>
          <w:rFonts w:cstheme="minorHAnsi"/>
        </w:rPr>
        <w:t xml:space="preserve"> to $550</w:t>
      </w:r>
      <w:r w:rsidR="00960AA8">
        <w:rPr>
          <w:rFonts w:cstheme="minorHAnsi"/>
        </w:rPr>
        <w:t xml:space="preserve"> million</w:t>
      </w:r>
      <w:r w:rsidR="00F55934">
        <w:rPr>
          <w:rFonts w:cstheme="minorHAnsi"/>
        </w:rPr>
        <w:t xml:space="preserve"> in a period of less than 2 years</w:t>
      </w:r>
      <w:r w:rsidR="006216F0">
        <w:rPr>
          <w:rFonts w:cstheme="minorHAnsi"/>
        </w:rPr>
        <w:t xml:space="preserve">. </w:t>
      </w:r>
      <w:r w:rsidR="00960AA8">
        <w:rPr>
          <w:rFonts w:cstheme="minorHAnsi"/>
        </w:rPr>
        <w:t xml:space="preserve"> </w:t>
      </w:r>
      <w:r w:rsidR="00781B05">
        <w:rPr>
          <w:rFonts w:cstheme="minorHAnsi"/>
        </w:rPr>
        <w:t>P</w:t>
      </w:r>
      <w:r w:rsidR="00273A32">
        <w:rPr>
          <w:rFonts w:cstheme="minorHAnsi"/>
        </w:rPr>
        <w:t xml:space="preserve">rior to Brad’s appointment at </w:t>
      </w:r>
      <w:r w:rsidR="00781B05">
        <w:rPr>
          <w:rFonts w:cstheme="minorHAnsi"/>
        </w:rPr>
        <w:t>Permex Petroleum</w:t>
      </w:r>
      <w:r w:rsidR="00273A32">
        <w:rPr>
          <w:rFonts w:cstheme="minorHAnsi"/>
        </w:rPr>
        <w:t xml:space="preserve"> as President and CEO, he recently </w:t>
      </w:r>
      <w:r w:rsidR="00273A32" w:rsidRPr="00273A32">
        <w:rPr>
          <w:rFonts w:cstheme="minorHAnsi"/>
        </w:rPr>
        <w:t xml:space="preserve">served </w:t>
      </w:r>
      <w:r w:rsidR="00960AA8">
        <w:rPr>
          <w:rFonts w:cstheme="minorHAnsi"/>
        </w:rPr>
        <w:t>as</w:t>
      </w:r>
      <w:r w:rsidR="00273A32">
        <w:rPr>
          <w:rFonts w:cstheme="minorHAnsi"/>
        </w:rPr>
        <w:t xml:space="preserve"> </w:t>
      </w:r>
      <w:r w:rsidR="00781B05">
        <w:rPr>
          <w:rFonts w:cstheme="minorHAnsi"/>
        </w:rPr>
        <w:t>the Company</w:t>
      </w:r>
      <w:r w:rsidR="00960AA8">
        <w:rPr>
          <w:rFonts w:cstheme="minorHAnsi"/>
        </w:rPr>
        <w:t>’s</w:t>
      </w:r>
      <w:r w:rsidR="00273A32">
        <w:rPr>
          <w:rFonts w:cstheme="minorHAnsi"/>
        </w:rPr>
        <w:t xml:space="preserve"> </w:t>
      </w:r>
      <w:r w:rsidR="00273A32" w:rsidRPr="00273A32">
        <w:rPr>
          <w:rFonts w:cstheme="minorHAnsi"/>
        </w:rPr>
        <w:t xml:space="preserve">Vice President of Finance. </w:t>
      </w:r>
      <w:r w:rsidRPr="008A1F09">
        <w:rPr>
          <w:rFonts w:cstheme="minorHAnsi"/>
        </w:rPr>
        <w:t xml:space="preserve">Brad holds </w:t>
      </w:r>
      <w:r w:rsidR="00590CE0">
        <w:rPr>
          <w:rFonts w:cstheme="minorHAnsi"/>
        </w:rPr>
        <w:t xml:space="preserve">a </w:t>
      </w:r>
      <w:r w:rsidR="00280B2F">
        <w:rPr>
          <w:rFonts w:cstheme="minorHAnsi"/>
        </w:rPr>
        <w:t>Bachelor of Business Administration</w:t>
      </w:r>
      <w:r w:rsidR="00590CE0">
        <w:rPr>
          <w:rFonts w:cstheme="minorHAnsi"/>
        </w:rPr>
        <w:t xml:space="preserve"> </w:t>
      </w:r>
      <w:r w:rsidR="00CA57A2">
        <w:rPr>
          <w:rFonts w:cstheme="minorHAnsi"/>
        </w:rPr>
        <w:t>in</w:t>
      </w:r>
      <w:r w:rsidR="00590CE0">
        <w:rPr>
          <w:rFonts w:cstheme="minorHAnsi"/>
        </w:rPr>
        <w:t xml:space="preserve"> </w:t>
      </w:r>
      <w:r w:rsidR="00CA57A2" w:rsidRPr="00CA57A2">
        <w:rPr>
          <w:rFonts w:cstheme="minorHAnsi"/>
        </w:rPr>
        <w:t xml:space="preserve">International Economics </w:t>
      </w:r>
      <w:r w:rsidRPr="008A1F09">
        <w:rPr>
          <w:rFonts w:cstheme="minorHAnsi"/>
        </w:rPr>
        <w:t>an</w:t>
      </w:r>
      <w:r w:rsidR="00590CE0">
        <w:rPr>
          <w:rFonts w:cstheme="minorHAnsi"/>
        </w:rPr>
        <w:t>d an</w:t>
      </w:r>
      <w:r w:rsidRPr="008A1F09">
        <w:rPr>
          <w:rFonts w:cstheme="minorHAnsi"/>
        </w:rPr>
        <w:t xml:space="preserve"> MBA in International Finance from Fort Hays State University.</w:t>
      </w:r>
    </w:p>
    <w:p w14:paraId="6BB8CABD" w14:textId="058C380D" w:rsidR="0062509A" w:rsidRPr="00BC7CFF" w:rsidRDefault="00CA57A2" w:rsidP="000330F3">
      <w:pPr>
        <w:spacing w:before="100" w:beforeAutospacing="1" w:after="100" w:afterAutospacing="1" w:line="240" w:lineRule="auto"/>
        <w:jc w:val="both"/>
        <w:rPr>
          <w:rFonts w:cstheme="minorHAnsi"/>
          <w:b/>
          <w:bCs/>
          <w:vertAlign w:val="superscript"/>
        </w:rPr>
      </w:pPr>
      <w:r>
        <w:rPr>
          <w:rFonts w:cstheme="minorHAnsi"/>
        </w:rPr>
        <w:t>Mr. Taillon s</w:t>
      </w:r>
      <w:r w:rsidR="00280B2F">
        <w:rPr>
          <w:rFonts w:cstheme="minorHAnsi"/>
        </w:rPr>
        <w:t>t</w:t>
      </w:r>
      <w:r>
        <w:rPr>
          <w:rFonts w:cstheme="minorHAnsi"/>
        </w:rPr>
        <w:t xml:space="preserve">ated, </w:t>
      </w:r>
      <w:r w:rsidR="0060596C">
        <w:rPr>
          <w:rFonts w:cstheme="minorHAnsi"/>
        </w:rPr>
        <w:t>“</w:t>
      </w:r>
      <w:r w:rsidR="004848F7">
        <w:rPr>
          <w:rFonts w:cstheme="minorHAnsi"/>
        </w:rPr>
        <w:t xml:space="preserve">With the support of </w:t>
      </w:r>
      <w:r w:rsidR="0060596C">
        <w:rPr>
          <w:rFonts w:cstheme="minorHAnsi"/>
        </w:rPr>
        <w:t xml:space="preserve">Mehran and </w:t>
      </w:r>
      <w:r w:rsidR="004848F7">
        <w:rPr>
          <w:rFonts w:cstheme="minorHAnsi"/>
        </w:rPr>
        <w:t>our</w:t>
      </w:r>
      <w:r w:rsidR="0060596C">
        <w:rPr>
          <w:rFonts w:cstheme="minorHAnsi"/>
        </w:rPr>
        <w:t xml:space="preserve"> Board of Directors</w:t>
      </w:r>
      <w:r w:rsidR="00507027">
        <w:rPr>
          <w:rFonts w:cstheme="minorHAnsi"/>
        </w:rPr>
        <w:t>, I</w:t>
      </w:r>
      <w:r w:rsidR="00960F3E">
        <w:rPr>
          <w:rFonts w:cstheme="minorHAnsi"/>
        </w:rPr>
        <w:t xml:space="preserve"> appreciate</w:t>
      </w:r>
      <w:r w:rsidR="006A408C">
        <w:rPr>
          <w:rFonts w:cstheme="minorHAnsi"/>
        </w:rPr>
        <w:t xml:space="preserve"> the opportunity to lead</w:t>
      </w:r>
      <w:r w:rsidR="004E32DA">
        <w:rPr>
          <w:rFonts w:cstheme="minorHAnsi"/>
        </w:rPr>
        <w:t xml:space="preserve"> Permex </w:t>
      </w:r>
      <w:r w:rsidR="006A408C">
        <w:rPr>
          <w:rFonts w:cstheme="minorHAnsi"/>
        </w:rPr>
        <w:t>Petroleum into its next chapter</w:t>
      </w:r>
      <w:r w:rsidR="00960F3E">
        <w:rPr>
          <w:rFonts w:cstheme="minorHAnsi"/>
        </w:rPr>
        <w:t xml:space="preserve"> as we </w:t>
      </w:r>
      <w:r w:rsidR="004E32DA">
        <w:rPr>
          <w:rFonts w:cstheme="minorHAnsi"/>
        </w:rPr>
        <w:t>capitalize on our premier acreage</w:t>
      </w:r>
      <w:r w:rsidR="005D048B">
        <w:rPr>
          <w:rFonts w:cstheme="minorHAnsi"/>
        </w:rPr>
        <w:t xml:space="preserve"> and reserve</w:t>
      </w:r>
      <w:r w:rsidR="004E32DA">
        <w:rPr>
          <w:rFonts w:cstheme="minorHAnsi"/>
        </w:rPr>
        <w:t xml:space="preserve"> position in the </w:t>
      </w:r>
      <w:r w:rsidR="002D0A08">
        <w:rPr>
          <w:rFonts w:cstheme="minorHAnsi"/>
        </w:rPr>
        <w:t xml:space="preserve">Permian Basin. </w:t>
      </w:r>
      <w:r w:rsidR="00960AA8">
        <w:rPr>
          <w:rFonts w:cstheme="minorHAnsi"/>
        </w:rPr>
        <w:t xml:space="preserve"> </w:t>
      </w:r>
      <w:r w:rsidR="002D0A08">
        <w:rPr>
          <w:rFonts w:cstheme="minorHAnsi"/>
        </w:rPr>
        <w:t xml:space="preserve">Mehran and his team built a </w:t>
      </w:r>
      <w:r w:rsidR="005140B2">
        <w:rPr>
          <w:rFonts w:cstheme="minorHAnsi"/>
        </w:rPr>
        <w:t xml:space="preserve">very strong </w:t>
      </w:r>
      <w:r w:rsidR="002C4B1A">
        <w:rPr>
          <w:rFonts w:cstheme="minorHAnsi"/>
        </w:rPr>
        <w:t>port</w:t>
      </w:r>
      <w:r>
        <w:rPr>
          <w:rFonts w:cstheme="minorHAnsi"/>
        </w:rPr>
        <w:t>folio</w:t>
      </w:r>
      <w:r w:rsidR="002D0A08">
        <w:rPr>
          <w:rFonts w:cstheme="minorHAnsi"/>
        </w:rPr>
        <w:t xml:space="preserve"> of assets</w:t>
      </w:r>
      <w:r w:rsidR="003B54F9">
        <w:rPr>
          <w:rFonts w:cstheme="minorHAnsi"/>
        </w:rPr>
        <w:t xml:space="preserve"> </w:t>
      </w:r>
      <w:r w:rsidR="005D048B">
        <w:rPr>
          <w:rFonts w:cstheme="minorHAnsi"/>
        </w:rPr>
        <w:t>with</w:t>
      </w:r>
      <w:r w:rsidR="003B54F9">
        <w:rPr>
          <w:rFonts w:cstheme="minorHAnsi"/>
        </w:rPr>
        <w:t xml:space="preserve"> 1P reserves of approximately $160</w:t>
      </w:r>
      <w:r w:rsidR="00960AA8">
        <w:rPr>
          <w:rFonts w:cstheme="minorHAnsi"/>
        </w:rPr>
        <w:t xml:space="preserve"> million</w:t>
      </w:r>
      <w:r w:rsidR="005140B2" w:rsidRPr="005140B2">
        <w:rPr>
          <w:rFonts w:cstheme="minorHAnsi"/>
          <w:i/>
          <w:iCs/>
          <w:sz w:val="20"/>
          <w:szCs w:val="20"/>
        </w:rPr>
        <w:t>*</w:t>
      </w:r>
      <w:r w:rsidR="003B54F9">
        <w:rPr>
          <w:rFonts w:cstheme="minorHAnsi"/>
        </w:rPr>
        <w:t xml:space="preserve"> and greater than 90% oil</w:t>
      </w:r>
      <w:r w:rsidR="005140B2">
        <w:rPr>
          <w:rFonts w:cstheme="minorHAnsi"/>
          <w:sz w:val="20"/>
          <w:szCs w:val="20"/>
        </w:rPr>
        <w:t xml:space="preserve">.  </w:t>
      </w:r>
      <w:r w:rsidR="00891D5B">
        <w:rPr>
          <w:rFonts w:cstheme="minorHAnsi"/>
        </w:rPr>
        <w:t xml:space="preserve">I look forward to </w:t>
      </w:r>
      <w:r>
        <w:rPr>
          <w:rFonts w:cstheme="minorHAnsi"/>
        </w:rPr>
        <w:t>build</w:t>
      </w:r>
      <w:r w:rsidR="00960AA8">
        <w:rPr>
          <w:rFonts w:cstheme="minorHAnsi"/>
        </w:rPr>
        <w:t>ing</w:t>
      </w:r>
      <w:r w:rsidR="00173D66">
        <w:rPr>
          <w:rFonts w:cstheme="minorHAnsi"/>
        </w:rPr>
        <w:t xml:space="preserve"> upon that success </w:t>
      </w:r>
      <w:r>
        <w:rPr>
          <w:rFonts w:cstheme="minorHAnsi"/>
        </w:rPr>
        <w:t>by unlocking</w:t>
      </w:r>
      <w:r w:rsidR="00173D66">
        <w:rPr>
          <w:rFonts w:cstheme="minorHAnsi"/>
        </w:rPr>
        <w:t xml:space="preserve"> </w:t>
      </w:r>
      <w:r w:rsidR="005D048B">
        <w:rPr>
          <w:rFonts w:cstheme="minorHAnsi"/>
        </w:rPr>
        <w:t xml:space="preserve">the </w:t>
      </w:r>
      <w:r w:rsidR="00173D66">
        <w:rPr>
          <w:rFonts w:cstheme="minorHAnsi"/>
        </w:rPr>
        <w:t>prod</w:t>
      </w:r>
      <w:r>
        <w:rPr>
          <w:rFonts w:cstheme="minorHAnsi"/>
        </w:rPr>
        <w:t xml:space="preserve">uction potential, expanding our </w:t>
      </w:r>
      <w:proofErr w:type="gramStart"/>
      <w:r>
        <w:rPr>
          <w:rFonts w:cstheme="minorHAnsi"/>
        </w:rPr>
        <w:t>reserves</w:t>
      </w:r>
      <w:proofErr w:type="gramEnd"/>
      <w:r>
        <w:rPr>
          <w:rFonts w:cstheme="minorHAnsi"/>
        </w:rPr>
        <w:t xml:space="preserve"> and grow</w:t>
      </w:r>
      <w:r w:rsidR="003B54F9">
        <w:rPr>
          <w:rFonts w:cstheme="minorHAnsi"/>
        </w:rPr>
        <w:t>ing our</w:t>
      </w:r>
      <w:r>
        <w:rPr>
          <w:rFonts w:cstheme="minorHAnsi"/>
        </w:rPr>
        <w:t xml:space="preserve"> overall asset and shareholder value</w:t>
      </w:r>
      <w:r w:rsidR="008E5E9E">
        <w:rPr>
          <w:rFonts w:cstheme="minorHAnsi"/>
        </w:rPr>
        <w:t>.”</w:t>
      </w:r>
    </w:p>
    <w:p w14:paraId="4007319B" w14:textId="1248BFC1" w:rsidR="00AA7479" w:rsidRDefault="00AA7479" w:rsidP="00AA7479">
      <w:pPr>
        <w:spacing w:before="100" w:beforeAutospacing="1" w:after="100" w:afterAutospacing="1" w:line="240" w:lineRule="auto"/>
        <w:jc w:val="both"/>
        <w:rPr>
          <w:rFonts w:cstheme="minorHAnsi"/>
        </w:rPr>
      </w:pPr>
      <w:r>
        <w:rPr>
          <w:rFonts w:cstheme="minorHAnsi"/>
        </w:rPr>
        <w:t xml:space="preserve">Douglas Urch, </w:t>
      </w:r>
      <w:r w:rsidR="00960AA8">
        <w:rPr>
          <w:rFonts w:cstheme="minorHAnsi"/>
        </w:rPr>
        <w:t>Director</w:t>
      </w:r>
      <w:r>
        <w:rPr>
          <w:rFonts w:cstheme="minorHAnsi"/>
        </w:rPr>
        <w:t xml:space="preserve"> commented: “We welcome Brad </w:t>
      </w:r>
      <w:r w:rsidR="00F75639">
        <w:rPr>
          <w:rFonts w:cstheme="minorHAnsi"/>
        </w:rPr>
        <w:t xml:space="preserve">as </w:t>
      </w:r>
      <w:r>
        <w:rPr>
          <w:rFonts w:cstheme="minorHAnsi"/>
        </w:rPr>
        <w:t xml:space="preserve">Permex </w:t>
      </w:r>
      <w:r w:rsidR="00F75639">
        <w:rPr>
          <w:rFonts w:cstheme="minorHAnsi"/>
        </w:rPr>
        <w:t xml:space="preserve">Petroleum’s next CEO. </w:t>
      </w:r>
      <w:r w:rsidR="00960AA8">
        <w:rPr>
          <w:rFonts w:cstheme="minorHAnsi"/>
        </w:rPr>
        <w:t xml:space="preserve"> </w:t>
      </w:r>
      <w:r w:rsidR="00F75639">
        <w:rPr>
          <w:rFonts w:cstheme="minorHAnsi"/>
        </w:rPr>
        <w:t xml:space="preserve">Brad’s deep experience and leadership will strengthen the </w:t>
      </w:r>
      <w:r>
        <w:rPr>
          <w:rFonts w:cstheme="minorHAnsi"/>
        </w:rPr>
        <w:t xml:space="preserve">Company </w:t>
      </w:r>
      <w:r w:rsidR="00F75639">
        <w:rPr>
          <w:rFonts w:cstheme="minorHAnsi"/>
        </w:rPr>
        <w:t xml:space="preserve">as we </w:t>
      </w:r>
      <w:r>
        <w:rPr>
          <w:rFonts w:cstheme="minorHAnsi"/>
        </w:rPr>
        <w:t>embark on the next growth stage to fund</w:t>
      </w:r>
      <w:r w:rsidR="00F75639">
        <w:rPr>
          <w:rFonts w:cstheme="minorHAnsi"/>
        </w:rPr>
        <w:t>,</w:t>
      </w:r>
      <w:r>
        <w:rPr>
          <w:rFonts w:cstheme="minorHAnsi"/>
        </w:rPr>
        <w:t xml:space="preserve"> develop </w:t>
      </w:r>
      <w:r w:rsidR="00F75639">
        <w:rPr>
          <w:rFonts w:cstheme="minorHAnsi"/>
        </w:rPr>
        <w:t>and expand our</w:t>
      </w:r>
      <w:r>
        <w:rPr>
          <w:rFonts w:cstheme="minorHAnsi"/>
        </w:rPr>
        <w:t xml:space="preserve"> Permian Basin assets.  Under Mehran’s leadership, the Company built an impressive acreage</w:t>
      </w:r>
      <w:r w:rsidR="003B54F9">
        <w:rPr>
          <w:rFonts w:cstheme="minorHAnsi"/>
        </w:rPr>
        <w:t xml:space="preserve">, reserve </w:t>
      </w:r>
      <w:r>
        <w:rPr>
          <w:rFonts w:cstheme="minorHAnsi"/>
        </w:rPr>
        <w:t xml:space="preserve">position </w:t>
      </w:r>
      <w:r w:rsidR="00F75639">
        <w:rPr>
          <w:rFonts w:cstheme="minorHAnsi"/>
        </w:rPr>
        <w:t>and the beginning of a development program while</w:t>
      </w:r>
      <w:r>
        <w:rPr>
          <w:rFonts w:cstheme="minorHAnsi"/>
        </w:rPr>
        <w:t xml:space="preserve"> weathering </w:t>
      </w:r>
      <w:r w:rsidR="00F75639">
        <w:rPr>
          <w:rFonts w:cstheme="minorHAnsi"/>
        </w:rPr>
        <w:t>volatile market conditions</w:t>
      </w:r>
      <w:r>
        <w:rPr>
          <w:rFonts w:cstheme="minorHAnsi"/>
        </w:rPr>
        <w:t>.</w:t>
      </w:r>
      <w:r w:rsidR="00960AA8">
        <w:rPr>
          <w:rFonts w:cstheme="minorHAnsi"/>
        </w:rPr>
        <w:t>”</w:t>
      </w:r>
    </w:p>
    <w:p w14:paraId="23BADED5" w14:textId="39303DAE" w:rsidR="005140B2" w:rsidRDefault="00767506" w:rsidP="000330F3">
      <w:pPr>
        <w:spacing w:before="100" w:beforeAutospacing="1" w:after="100" w:afterAutospacing="1" w:line="240" w:lineRule="auto"/>
        <w:jc w:val="both"/>
        <w:rPr>
          <w:rFonts w:cstheme="minorHAnsi"/>
        </w:rPr>
      </w:pPr>
      <w:r w:rsidRPr="00960AA8">
        <w:rPr>
          <w:rFonts w:cstheme="minorHAnsi"/>
        </w:rPr>
        <w:t xml:space="preserve">In a statement, </w:t>
      </w:r>
      <w:r w:rsidR="002054F6" w:rsidRPr="00960AA8">
        <w:rPr>
          <w:rFonts w:cstheme="minorHAnsi"/>
        </w:rPr>
        <w:t xml:space="preserve">Mehran </w:t>
      </w:r>
      <w:r w:rsidR="00021F56" w:rsidRPr="00960AA8">
        <w:rPr>
          <w:rFonts w:cstheme="minorHAnsi"/>
        </w:rPr>
        <w:t>Ehsan e</w:t>
      </w:r>
      <w:r w:rsidRPr="00960AA8">
        <w:rPr>
          <w:rFonts w:cstheme="minorHAnsi"/>
        </w:rPr>
        <w:t xml:space="preserve">xpressed his gratitude for the opportunity to lead Permex </w:t>
      </w:r>
      <w:r w:rsidR="00641D72" w:rsidRPr="00960AA8">
        <w:rPr>
          <w:rFonts w:cstheme="minorHAnsi"/>
        </w:rPr>
        <w:t>Petroleum</w:t>
      </w:r>
      <w:r w:rsidRPr="00960AA8">
        <w:rPr>
          <w:rFonts w:cstheme="minorHAnsi"/>
        </w:rPr>
        <w:t xml:space="preserve">. “It has been an honor to serve as President and CEO of Permex Petroleum and to work alongside such a talented team. </w:t>
      </w:r>
      <w:r w:rsidR="00960AA8">
        <w:rPr>
          <w:rFonts w:cstheme="minorHAnsi"/>
        </w:rPr>
        <w:t xml:space="preserve"> </w:t>
      </w:r>
      <w:r w:rsidR="008A40C9" w:rsidRPr="00960AA8">
        <w:rPr>
          <w:rFonts w:cstheme="minorHAnsi"/>
        </w:rPr>
        <w:t>I will continue to serve</w:t>
      </w:r>
      <w:r w:rsidR="00DA5369" w:rsidRPr="00960AA8">
        <w:rPr>
          <w:rFonts w:cstheme="minorHAnsi"/>
        </w:rPr>
        <w:t xml:space="preserve"> </w:t>
      </w:r>
      <w:r w:rsidR="00140926" w:rsidRPr="00960AA8">
        <w:rPr>
          <w:rFonts w:cstheme="minorHAnsi"/>
        </w:rPr>
        <w:t>Permex</w:t>
      </w:r>
      <w:r w:rsidR="00DA5369" w:rsidRPr="00960AA8">
        <w:rPr>
          <w:rFonts w:cstheme="minorHAnsi"/>
        </w:rPr>
        <w:t xml:space="preserve"> on</w:t>
      </w:r>
      <w:r w:rsidR="00210D47" w:rsidRPr="00960AA8">
        <w:rPr>
          <w:rFonts w:cstheme="minorHAnsi"/>
        </w:rPr>
        <w:t xml:space="preserve"> </w:t>
      </w:r>
      <w:r w:rsidR="00F27151" w:rsidRPr="00960AA8">
        <w:rPr>
          <w:rFonts w:cstheme="minorHAnsi"/>
        </w:rPr>
        <w:t xml:space="preserve">the </w:t>
      </w:r>
      <w:r w:rsidR="009B5832" w:rsidRPr="00960AA8">
        <w:rPr>
          <w:rFonts w:cstheme="minorHAnsi"/>
        </w:rPr>
        <w:t xml:space="preserve">Board of </w:t>
      </w:r>
      <w:r w:rsidR="00210D47" w:rsidRPr="00960AA8">
        <w:rPr>
          <w:rFonts w:cstheme="minorHAnsi"/>
        </w:rPr>
        <w:t>Directors</w:t>
      </w:r>
      <w:r w:rsidR="00CB0FB2" w:rsidRPr="00960AA8">
        <w:rPr>
          <w:rFonts w:cstheme="minorHAnsi"/>
        </w:rPr>
        <w:t xml:space="preserve"> and look forward </w:t>
      </w:r>
      <w:r w:rsidR="00C71417" w:rsidRPr="00960AA8">
        <w:rPr>
          <w:rFonts w:cstheme="minorHAnsi"/>
        </w:rPr>
        <w:t xml:space="preserve">to </w:t>
      </w:r>
      <w:r w:rsidRPr="00960AA8">
        <w:rPr>
          <w:rFonts w:cstheme="minorHAnsi"/>
        </w:rPr>
        <w:t>lead</w:t>
      </w:r>
      <w:r w:rsidR="001065D7" w:rsidRPr="00960AA8">
        <w:rPr>
          <w:rFonts w:cstheme="minorHAnsi"/>
        </w:rPr>
        <w:t>ing</w:t>
      </w:r>
      <w:r w:rsidRPr="00960AA8">
        <w:rPr>
          <w:rFonts w:cstheme="minorHAnsi"/>
        </w:rPr>
        <w:t xml:space="preserve"> our business development efforts and contribut</w:t>
      </w:r>
      <w:r w:rsidR="008E56C7">
        <w:rPr>
          <w:rFonts w:cstheme="minorHAnsi"/>
        </w:rPr>
        <w:t>ing</w:t>
      </w:r>
      <w:r w:rsidRPr="00960AA8">
        <w:rPr>
          <w:rFonts w:cstheme="minorHAnsi"/>
        </w:rPr>
        <w:t xml:space="preserve"> to the </w:t>
      </w:r>
      <w:r w:rsidR="003B54F9">
        <w:rPr>
          <w:rFonts w:cstheme="minorHAnsi"/>
        </w:rPr>
        <w:t>C</w:t>
      </w:r>
      <w:r w:rsidRPr="00960AA8">
        <w:rPr>
          <w:rFonts w:cstheme="minorHAnsi"/>
        </w:rPr>
        <w:t>ompany’s growth.”</w:t>
      </w:r>
    </w:p>
    <w:p w14:paraId="3EFBE503" w14:textId="2EF6CED1" w:rsidR="005140B2" w:rsidRPr="005140B2" w:rsidRDefault="005140B2" w:rsidP="000330F3">
      <w:pPr>
        <w:spacing w:before="100" w:beforeAutospacing="1" w:after="100" w:afterAutospacing="1" w:line="240" w:lineRule="auto"/>
        <w:jc w:val="both"/>
        <w:rPr>
          <w:rFonts w:cstheme="minorHAnsi"/>
          <w:i/>
          <w:iCs/>
          <w:sz w:val="18"/>
          <w:szCs w:val="18"/>
        </w:rPr>
      </w:pPr>
      <w:r>
        <w:rPr>
          <w:rFonts w:cstheme="minorHAnsi"/>
          <w:i/>
          <w:iCs/>
          <w:sz w:val="18"/>
          <w:szCs w:val="18"/>
        </w:rPr>
        <w:t>*</w:t>
      </w:r>
      <w:r w:rsidRPr="005140B2">
        <w:rPr>
          <w:rFonts w:cstheme="minorHAnsi"/>
          <w:i/>
          <w:iCs/>
          <w:sz w:val="18"/>
          <w:szCs w:val="18"/>
        </w:rPr>
        <w:t xml:space="preserve"> </w:t>
      </w:r>
      <w:proofErr w:type="gramStart"/>
      <w:r w:rsidRPr="005140B2">
        <w:rPr>
          <w:rFonts w:cstheme="minorHAnsi"/>
          <w:sz w:val="18"/>
          <w:szCs w:val="18"/>
        </w:rPr>
        <w:t>as</w:t>
      </w:r>
      <w:proofErr w:type="gramEnd"/>
      <w:r w:rsidRPr="005140B2">
        <w:rPr>
          <w:rFonts w:cstheme="minorHAnsi"/>
          <w:sz w:val="18"/>
          <w:szCs w:val="18"/>
        </w:rPr>
        <w:t xml:space="preserve"> set out in the Form 51-101F1 - </w:t>
      </w:r>
      <w:r w:rsidRPr="005140B2">
        <w:rPr>
          <w:rFonts w:cstheme="minorHAnsi"/>
          <w:i/>
          <w:iCs/>
          <w:sz w:val="18"/>
          <w:szCs w:val="18"/>
        </w:rPr>
        <w:t>Statement of Reserves Data and Other Oil and Gas Information</w:t>
      </w:r>
      <w:r w:rsidRPr="005140B2">
        <w:rPr>
          <w:rFonts w:cstheme="minorHAnsi"/>
          <w:sz w:val="18"/>
          <w:szCs w:val="18"/>
        </w:rPr>
        <w:t xml:space="preserve"> as of September 30, 2023 filed by the Company on SEDAR+.</w:t>
      </w:r>
    </w:p>
    <w:p w14:paraId="3A3039F9" w14:textId="77777777" w:rsidR="00E47028" w:rsidRPr="00960AA8" w:rsidRDefault="004F12C2" w:rsidP="00C8668E">
      <w:pPr>
        <w:pStyle w:val="NormalWeb"/>
        <w:keepNext/>
        <w:jc w:val="both"/>
        <w:rPr>
          <w:rFonts w:asciiTheme="minorHAnsi" w:hAnsiTheme="minorHAnsi" w:cstheme="minorHAnsi"/>
          <w:sz w:val="22"/>
          <w:szCs w:val="22"/>
        </w:rPr>
      </w:pPr>
      <w:r w:rsidRPr="00960AA8">
        <w:rPr>
          <w:rStyle w:val="Strong"/>
          <w:rFonts w:asciiTheme="minorHAnsi" w:hAnsiTheme="minorHAnsi" w:cstheme="minorHAnsi"/>
          <w:sz w:val="22"/>
          <w:szCs w:val="22"/>
        </w:rPr>
        <w:lastRenderedPageBreak/>
        <w:t xml:space="preserve">About Permex Petroleum Corporation </w:t>
      </w:r>
    </w:p>
    <w:p w14:paraId="672CD900" w14:textId="77777777" w:rsidR="00E47028" w:rsidRDefault="004F12C2" w:rsidP="000330F3">
      <w:pPr>
        <w:pStyle w:val="NormalWeb"/>
        <w:jc w:val="both"/>
        <w:rPr>
          <w:rFonts w:asciiTheme="minorHAnsi" w:hAnsiTheme="minorHAnsi" w:cstheme="minorHAnsi"/>
          <w:sz w:val="22"/>
          <w:szCs w:val="22"/>
        </w:rPr>
      </w:pPr>
      <w:r w:rsidRPr="00960AA8">
        <w:rPr>
          <w:rFonts w:asciiTheme="minorHAnsi" w:hAnsiTheme="minorHAnsi" w:cstheme="minorHAnsi"/>
          <w:sz w:val="22"/>
          <w:szCs w:val="22"/>
        </w:rPr>
        <w:t xml:space="preserve">Permex Petroleum (CSE: OIL) (OTCQB: OILCF) (FSE: 75P) is a uniquely positioned junior oil &amp; gas company with assets and operations across the Permian Basin of West Texas and the Delaware Sub-Basin of New Mexico. The Company focuses on combining its low-cost development of Held by Production assets for sustainable growth with its current and future Blue-Sky projects for scale growth. The Company, through its wholly owned subsidiary, Permex Petroleum US Corporation, is a licensed operator in both states, and owns and operates on private, </w:t>
      </w:r>
      <w:proofErr w:type="gramStart"/>
      <w:r w:rsidRPr="00960AA8">
        <w:rPr>
          <w:rFonts w:asciiTheme="minorHAnsi" w:hAnsiTheme="minorHAnsi" w:cstheme="minorHAnsi"/>
          <w:sz w:val="22"/>
          <w:szCs w:val="22"/>
        </w:rPr>
        <w:t>state</w:t>
      </w:r>
      <w:proofErr w:type="gramEnd"/>
      <w:r w:rsidRPr="00960AA8">
        <w:rPr>
          <w:rFonts w:asciiTheme="minorHAnsi" w:hAnsiTheme="minorHAnsi" w:cstheme="minorHAnsi"/>
          <w:sz w:val="22"/>
          <w:szCs w:val="22"/>
        </w:rPr>
        <w:t xml:space="preserve"> and federal land. For more information, please visit </w:t>
      </w:r>
      <w:hyperlink r:id="rId8" w:history="1">
        <w:r w:rsidRPr="00960AA8">
          <w:rPr>
            <w:rStyle w:val="Hyperlink"/>
            <w:rFonts w:asciiTheme="minorHAnsi" w:hAnsiTheme="minorHAnsi" w:cstheme="minorHAnsi"/>
            <w:sz w:val="22"/>
            <w:szCs w:val="22"/>
          </w:rPr>
          <w:t>www.permexpetroleum.com</w:t>
        </w:r>
      </w:hyperlink>
      <w:r w:rsidRPr="00960AA8">
        <w:rPr>
          <w:rFonts w:asciiTheme="minorHAnsi" w:hAnsiTheme="minorHAnsi" w:cstheme="minorHAnsi"/>
          <w:sz w:val="22"/>
          <w:szCs w:val="22"/>
        </w:rPr>
        <w:t>.</w:t>
      </w:r>
    </w:p>
    <w:p w14:paraId="7FFE6B18" w14:textId="77777777" w:rsidR="00F51036" w:rsidRPr="00A647F1" w:rsidRDefault="00F51036" w:rsidP="000330F3">
      <w:pPr>
        <w:pStyle w:val="NormalWeb"/>
        <w:jc w:val="both"/>
        <w:rPr>
          <w:rFonts w:asciiTheme="minorHAnsi" w:hAnsiTheme="minorHAnsi" w:cstheme="minorHAnsi"/>
          <w:sz w:val="22"/>
          <w:szCs w:val="22"/>
        </w:rPr>
      </w:pPr>
    </w:p>
    <w:p w14:paraId="366719BC" w14:textId="173712F5" w:rsidR="00F51036" w:rsidRDefault="004F12C2" w:rsidP="003D2D47">
      <w:pPr>
        <w:spacing w:after="0"/>
        <w:rPr>
          <w:rFonts w:eastAsia="Times New Roman" w:cstheme="minorHAnsi"/>
        </w:rPr>
      </w:pPr>
      <w:r w:rsidRPr="00A647F1">
        <w:rPr>
          <w:rStyle w:val="Strong"/>
          <w:rFonts w:cstheme="minorHAnsi"/>
        </w:rPr>
        <w:t>CONTACT INFORMATION</w:t>
      </w:r>
      <w:r w:rsidRPr="00A647F1">
        <w:rPr>
          <w:rFonts w:cstheme="minorHAnsi"/>
        </w:rPr>
        <w:br/>
        <w:t>Permex Petroleum Corporation</w:t>
      </w:r>
      <w:r w:rsidRPr="00A647F1">
        <w:rPr>
          <w:rFonts w:cstheme="minorHAnsi"/>
        </w:rPr>
        <w:br/>
      </w:r>
      <w:r w:rsidR="006E40B3">
        <w:rPr>
          <w:rFonts w:cstheme="minorHAnsi"/>
        </w:rPr>
        <w:t>Brad Taillon</w:t>
      </w:r>
      <w:r w:rsidRPr="00A647F1">
        <w:rPr>
          <w:rFonts w:cstheme="minorHAnsi"/>
        </w:rPr>
        <w:br/>
        <w:t xml:space="preserve">Chief Executive Officer </w:t>
      </w:r>
      <w:r w:rsidRPr="00A647F1">
        <w:rPr>
          <w:rFonts w:cstheme="minorHAnsi"/>
        </w:rPr>
        <w:br/>
        <w:t>(</w:t>
      </w:r>
      <w:r w:rsidR="003D2D47">
        <w:rPr>
          <w:rFonts w:cstheme="minorHAnsi"/>
        </w:rPr>
        <w:t xml:space="preserve">469) </w:t>
      </w:r>
      <w:proofErr w:type="gramStart"/>
      <w:r w:rsidR="003D2D47">
        <w:rPr>
          <w:rFonts w:cstheme="minorHAnsi"/>
        </w:rPr>
        <w:t>804-1306</w:t>
      </w:r>
      <w:proofErr w:type="gramEnd"/>
      <w:r w:rsidR="003D2D47">
        <w:rPr>
          <w:rFonts w:cstheme="minorHAnsi"/>
        </w:rPr>
        <w:t xml:space="preserve"> </w:t>
      </w:r>
    </w:p>
    <w:p w14:paraId="46411D23" w14:textId="77777777" w:rsidR="003D2D47" w:rsidRPr="00A647F1" w:rsidRDefault="003D2D47" w:rsidP="000330F3">
      <w:pPr>
        <w:pStyle w:val="NormalWeb"/>
        <w:rPr>
          <w:rFonts w:asciiTheme="minorHAnsi" w:hAnsiTheme="minorHAnsi" w:cstheme="minorHAnsi"/>
          <w:sz w:val="22"/>
          <w:szCs w:val="22"/>
        </w:rPr>
      </w:pPr>
    </w:p>
    <w:p w14:paraId="291CE705" w14:textId="77777777" w:rsidR="003D2D47" w:rsidRPr="00296537" w:rsidRDefault="003D2D47" w:rsidP="003D2D47">
      <w:pPr>
        <w:kinsoku w:val="0"/>
        <w:overflowPunct w:val="0"/>
        <w:ind w:right="115"/>
        <w:jc w:val="both"/>
        <w:outlineLvl w:val="0"/>
        <w:rPr>
          <w:rFonts w:cstheme="minorHAnsi"/>
          <w:b/>
        </w:rPr>
      </w:pPr>
      <w:r>
        <w:rPr>
          <w:rFonts w:cstheme="minorHAnsi"/>
          <w:b/>
        </w:rPr>
        <w:t>Cautionary Disclaimer Statement:</w:t>
      </w:r>
    </w:p>
    <w:p w14:paraId="54D777D7" w14:textId="77777777" w:rsidR="003D2D47" w:rsidRPr="00296537" w:rsidRDefault="003D2D47" w:rsidP="003D2D47">
      <w:pPr>
        <w:kinsoku w:val="0"/>
        <w:overflowPunct w:val="0"/>
        <w:ind w:right="115"/>
        <w:jc w:val="both"/>
        <w:outlineLvl w:val="0"/>
        <w:rPr>
          <w:rFonts w:cstheme="minorHAnsi"/>
          <w:bCs/>
        </w:rPr>
      </w:pPr>
      <w:r w:rsidRPr="00296537">
        <w:rPr>
          <w:rFonts w:cstheme="minorHAnsi"/>
          <w:bCs/>
        </w:rPr>
        <w:t xml:space="preserve">Neither Canadian Securities Exchange, </w:t>
      </w:r>
      <w:proofErr w:type="spellStart"/>
      <w:r w:rsidRPr="00296537">
        <w:rPr>
          <w:rFonts w:cstheme="minorHAnsi"/>
          <w:bCs/>
        </w:rPr>
        <w:t>OTCMarkets</w:t>
      </w:r>
      <w:proofErr w:type="spellEnd"/>
      <w:r w:rsidRPr="00296537">
        <w:rPr>
          <w:rFonts w:cstheme="minorHAnsi"/>
          <w:bCs/>
        </w:rPr>
        <w:t xml:space="preserve"> nor their Regulation Services Providers (as that term is defined in their respective policies) accept responsibility for the adequacy or accuracy of this release.</w:t>
      </w:r>
    </w:p>
    <w:p w14:paraId="691D68D1" w14:textId="77777777" w:rsidR="003D2D47" w:rsidRPr="0035432A" w:rsidRDefault="003D2D47" w:rsidP="003D2D47">
      <w:pPr>
        <w:kinsoku w:val="0"/>
        <w:overflowPunct w:val="0"/>
        <w:ind w:right="115"/>
        <w:jc w:val="both"/>
        <w:outlineLvl w:val="0"/>
        <w:rPr>
          <w:rFonts w:cstheme="minorHAnsi"/>
          <w:b/>
        </w:rPr>
      </w:pPr>
      <w:r w:rsidRPr="0035432A">
        <w:rPr>
          <w:rFonts w:cstheme="minorHAnsi"/>
          <w:b/>
        </w:rPr>
        <w:t>Forward-Looking Statements</w:t>
      </w:r>
    </w:p>
    <w:p w14:paraId="284B017A" w14:textId="77777777" w:rsidR="003D2D47" w:rsidRPr="00296537" w:rsidRDefault="003D2D47" w:rsidP="003D2D47">
      <w:pPr>
        <w:autoSpaceDE w:val="0"/>
        <w:autoSpaceDN w:val="0"/>
        <w:adjustRightInd w:val="0"/>
        <w:snapToGrid w:val="0"/>
        <w:jc w:val="both"/>
        <w:rPr>
          <w:rFonts w:ascii="Calibri" w:hAnsi="Calibri" w:cs="Calibri"/>
          <w:i/>
          <w:iCs/>
          <w:sz w:val="20"/>
          <w:szCs w:val="20"/>
        </w:rPr>
      </w:pPr>
      <w:r w:rsidRPr="00296537">
        <w:rPr>
          <w:rFonts w:ascii="Calibri" w:hAnsi="Calibri" w:cs="Calibri"/>
          <w:i/>
          <w:iCs/>
          <w:sz w:val="20"/>
          <w:szCs w:val="20"/>
        </w:rPr>
        <w:t xml:space="preserve">This press release contains forward-looking information within the meaning of Canadian securities laws. These statements relate to future events or </w:t>
      </w:r>
      <w:proofErr w:type="gramStart"/>
      <w:r w:rsidRPr="00296537">
        <w:rPr>
          <w:rFonts w:ascii="Calibri" w:hAnsi="Calibri" w:cs="Calibri"/>
          <w:i/>
          <w:iCs/>
          <w:sz w:val="20"/>
          <w:szCs w:val="20"/>
        </w:rPr>
        <w:t>Company's</w:t>
      </w:r>
      <w:proofErr w:type="gramEnd"/>
      <w:r w:rsidRPr="00296537">
        <w:rPr>
          <w:rFonts w:ascii="Calibri" w:hAnsi="Calibri" w:cs="Calibri"/>
          <w:i/>
          <w:iCs/>
          <w:sz w:val="20"/>
          <w:szCs w:val="20"/>
        </w:rPr>
        <w:t xml:space="preserve"> future performance. All forward-looking information is based on assumptions and subject to known and unknown risks, uncertainties, and other factors which may cause the actual results to vary from those expressed or implied by the forward-looking statements. Such information includes, without limitation, information regarding the terms and conditions of the Company's </w:t>
      </w:r>
      <w:proofErr w:type="gramStart"/>
      <w:r w:rsidRPr="00296537">
        <w:rPr>
          <w:rFonts w:ascii="Calibri" w:hAnsi="Calibri" w:cs="Calibri"/>
          <w:i/>
          <w:iCs/>
          <w:sz w:val="20"/>
          <w:szCs w:val="20"/>
        </w:rPr>
        <w:t>future plans</w:t>
      </w:r>
      <w:proofErr w:type="gramEnd"/>
      <w:r w:rsidRPr="00296537">
        <w:rPr>
          <w:rFonts w:ascii="Calibri" w:hAnsi="Calibri" w:cs="Calibri"/>
          <w:i/>
          <w:iCs/>
          <w:sz w:val="20"/>
          <w:szCs w:val="20"/>
        </w:rPr>
        <w:t>. Although the Company believes that such information is reasonable, it can give no assurance that such expectations will prove to be correct.</w:t>
      </w:r>
    </w:p>
    <w:p w14:paraId="60848035" w14:textId="77777777" w:rsidR="003D2D47" w:rsidRPr="00296537" w:rsidRDefault="003D2D47" w:rsidP="003D2D47">
      <w:pPr>
        <w:autoSpaceDE w:val="0"/>
        <w:autoSpaceDN w:val="0"/>
        <w:adjustRightInd w:val="0"/>
        <w:snapToGrid w:val="0"/>
        <w:jc w:val="both"/>
        <w:rPr>
          <w:rFonts w:ascii="Calibri" w:hAnsi="Calibri" w:cs="Calibri"/>
          <w:i/>
          <w:iCs/>
          <w:sz w:val="20"/>
          <w:szCs w:val="20"/>
        </w:rPr>
      </w:pPr>
      <w:r w:rsidRPr="00296537">
        <w:rPr>
          <w:rFonts w:ascii="Calibri" w:hAnsi="Calibri" w:cs="Calibri"/>
          <w:i/>
          <w:iCs/>
          <w:sz w:val="20"/>
          <w:szCs w:val="20"/>
        </w:rPr>
        <w:t xml:space="preserve">Forward-looking information is typically identified by words such as: "believe", "expect", "anticipate", "intend", "estimate", "postulate", and similar expressions, or are those, which, by their nature, refer to future events. Such statements include, without limitation, expected use of proceeds from the Offering and other forward-looking information. The Company cautions investors that any forward-looking information provided by the Company is not a guarantee of future results or performance, and that actual results may differ materially from those in forward-looking information as a result of various factors, including, but not limited to: the state of the financial markets for the Company's securities; the state of the oil and gas sector; recent market volatility; the Company's ability to raise the necessary capital or to be fully able to implement its business strategies; and other risks and factors that the Company is unaware of at this time. In making the forward-looking statements in this news release, the Company has applied several material assumptions, including without limitation, that the Company’s financial condition and </w:t>
      </w:r>
      <w:proofErr w:type="gramStart"/>
      <w:r w:rsidRPr="00296537">
        <w:rPr>
          <w:rFonts w:ascii="Calibri" w:hAnsi="Calibri" w:cs="Calibri"/>
          <w:i/>
          <w:iCs/>
          <w:sz w:val="20"/>
          <w:szCs w:val="20"/>
        </w:rPr>
        <w:t>future plans</w:t>
      </w:r>
      <w:proofErr w:type="gramEnd"/>
      <w:r w:rsidRPr="00296537">
        <w:rPr>
          <w:rFonts w:ascii="Calibri" w:hAnsi="Calibri" w:cs="Calibri"/>
          <w:i/>
          <w:iCs/>
          <w:sz w:val="20"/>
          <w:szCs w:val="20"/>
        </w:rPr>
        <w:t xml:space="preserve"> do not change as a result of unforeseen events. </w:t>
      </w:r>
    </w:p>
    <w:p w14:paraId="563757C1" w14:textId="77777777" w:rsidR="003D2D47" w:rsidRPr="00296537" w:rsidRDefault="003D2D47" w:rsidP="003D2D47">
      <w:pPr>
        <w:autoSpaceDE w:val="0"/>
        <w:autoSpaceDN w:val="0"/>
        <w:adjustRightInd w:val="0"/>
        <w:snapToGrid w:val="0"/>
        <w:jc w:val="both"/>
        <w:rPr>
          <w:rFonts w:ascii="Calibri" w:hAnsi="Calibri" w:cs="Calibri"/>
          <w:i/>
          <w:iCs/>
          <w:sz w:val="20"/>
          <w:szCs w:val="20"/>
        </w:rPr>
      </w:pPr>
      <w:r w:rsidRPr="00296537">
        <w:rPr>
          <w:rFonts w:ascii="Calibri" w:hAnsi="Calibri" w:cs="Calibri"/>
          <w:i/>
          <w:iCs/>
          <w:sz w:val="20"/>
          <w:szCs w:val="20"/>
        </w:rPr>
        <w:lastRenderedPageBreak/>
        <w:t xml:space="preserve">Although management of the Company has attempted to identify important factors that could cause actual results to differ materially from those contained in forward-looking statements or forward-looking information, there may be other factors that cause results not to be as anticipated, estimated or intended. There can be no assurance that such statements will prove to be accurate, as actual results and future events could differ materially from those anticipated in such statements. Accordingly, readers should not place undue reliance on forward-looking statements and forward-looking information. Readers are cautioned that forward-looking statements contained in this press release are made as of the date of this press release. The Company disclaims any intention or obligation to update or revise any forward-looking statements, whether </w:t>
      </w:r>
      <w:proofErr w:type="gramStart"/>
      <w:r w:rsidRPr="00296537">
        <w:rPr>
          <w:rFonts w:ascii="Calibri" w:hAnsi="Calibri" w:cs="Calibri"/>
          <w:i/>
          <w:iCs/>
          <w:sz w:val="20"/>
          <w:szCs w:val="20"/>
        </w:rPr>
        <w:t>as a result of</w:t>
      </w:r>
      <w:proofErr w:type="gramEnd"/>
      <w:r w:rsidRPr="00296537">
        <w:rPr>
          <w:rFonts w:ascii="Calibri" w:hAnsi="Calibri" w:cs="Calibri"/>
          <w:i/>
          <w:iCs/>
          <w:sz w:val="20"/>
          <w:szCs w:val="20"/>
        </w:rPr>
        <w:t xml:space="preserve"> new information, future events or otherwise, except as required by law.</w:t>
      </w:r>
    </w:p>
    <w:p w14:paraId="48AB7EDC" w14:textId="77777777" w:rsidR="00E47028" w:rsidRPr="000330F3" w:rsidRDefault="00E47028" w:rsidP="000330F3"/>
    <w:sectPr w:rsidR="00E47028" w:rsidRPr="000330F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504312" w14:textId="77777777" w:rsidR="00EA0813" w:rsidRDefault="00EA0813">
      <w:pPr>
        <w:spacing w:after="0" w:line="240" w:lineRule="auto"/>
      </w:pPr>
      <w:r>
        <w:separator/>
      </w:r>
    </w:p>
  </w:endnote>
  <w:endnote w:type="continuationSeparator" w:id="0">
    <w:p w14:paraId="44C594C1" w14:textId="77777777" w:rsidR="00EA0813" w:rsidRDefault="00EA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NoBorders"/>
      <w:tblW w:w="5000" w:type="pct"/>
      <w:tblLayout w:type="fixed"/>
      <w:tblCellMar>
        <w:left w:w="0" w:type="dxa"/>
        <w:right w:w="0" w:type="dxa"/>
      </w:tblCellMar>
      <w:tblLook w:val="01E0" w:firstRow="1" w:lastRow="1" w:firstColumn="1" w:lastColumn="1" w:noHBand="0" w:noVBand="0"/>
    </w:tblPr>
    <w:tblGrid>
      <w:gridCol w:w="3388"/>
      <w:gridCol w:w="2593"/>
      <w:gridCol w:w="3379"/>
    </w:tblGrid>
    <w:tr w:rsidR="00EA688A" w14:paraId="0A174C82" w14:textId="77777777" w:rsidTr="00CF33A2">
      <w:tc>
        <w:tcPr>
          <w:tcW w:w="3465" w:type="dxa"/>
          <w:shd w:val="clear" w:color="auto" w:fill="auto"/>
          <w:vAlign w:val="bottom"/>
        </w:tcPr>
        <w:p w14:paraId="6DBD9A4E" w14:textId="77777777" w:rsidR="00E47028" w:rsidRPr="00CF33A2" w:rsidRDefault="00E47028" w:rsidP="00CF33A2">
          <w:pPr>
            <w:rPr>
              <w:noProof/>
              <w:spacing w:val="-2"/>
            </w:rPr>
          </w:pPr>
        </w:p>
      </w:tc>
      <w:tc>
        <w:tcPr>
          <w:tcW w:w="2652" w:type="dxa"/>
          <w:shd w:val="clear" w:color="auto" w:fill="auto"/>
        </w:tcPr>
        <w:p w14:paraId="1DD5A5B0" w14:textId="77777777" w:rsidR="00E47028" w:rsidRPr="00CF33A2" w:rsidRDefault="00E47028" w:rsidP="004969D7">
          <w:pPr>
            <w:pStyle w:val="10spCenterednospaceafter"/>
          </w:pPr>
        </w:p>
      </w:tc>
      <w:tc>
        <w:tcPr>
          <w:tcW w:w="3456" w:type="dxa"/>
          <w:shd w:val="clear" w:color="auto" w:fill="auto"/>
          <w:vAlign w:val="bottom"/>
        </w:tcPr>
        <w:p w14:paraId="28421473" w14:textId="77777777" w:rsidR="00E47028" w:rsidRPr="00CF33A2" w:rsidRDefault="00E47028" w:rsidP="00527B5B">
          <w:pPr>
            <w:pStyle w:val="FooterRightAligned"/>
          </w:pPr>
        </w:p>
      </w:tc>
    </w:tr>
    <w:tr w:rsidR="00EA688A" w14:paraId="0D3FD11F" w14:textId="77777777" w:rsidTr="00CF33A2">
      <w:tc>
        <w:tcPr>
          <w:tcW w:w="3465" w:type="dxa"/>
          <w:shd w:val="clear" w:color="auto" w:fill="auto"/>
        </w:tcPr>
        <w:p w14:paraId="3ADECAB4" w14:textId="77777777" w:rsidR="00E47028" w:rsidRPr="00CF33A2" w:rsidRDefault="00E47028" w:rsidP="004969D7">
          <w:pPr>
            <w:pStyle w:val="FooterLeftAligned"/>
          </w:pPr>
        </w:p>
      </w:tc>
      <w:tc>
        <w:tcPr>
          <w:tcW w:w="2652" w:type="dxa"/>
          <w:shd w:val="clear" w:color="auto" w:fill="auto"/>
        </w:tcPr>
        <w:p w14:paraId="10132D11" w14:textId="77777777" w:rsidR="00E47028" w:rsidRPr="00CF33A2" w:rsidRDefault="00E47028" w:rsidP="005037C7">
          <w:pPr>
            <w:pStyle w:val="FooterCenterAligned"/>
          </w:pPr>
        </w:p>
      </w:tc>
      <w:tc>
        <w:tcPr>
          <w:tcW w:w="3456" w:type="dxa"/>
          <w:shd w:val="clear" w:color="auto" w:fill="auto"/>
        </w:tcPr>
        <w:p w14:paraId="4AB49834" w14:textId="77777777" w:rsidR="00E47028" w:rsidRPr="00CF33A2" w:rsidRDefault="00E47028" w:rsidP="004969D7">
          <w:pPr>
            <w:pStyle w:val="FooterRightAligned"/>
          </w:pPr>
        </w:p>
      </w:tc>
    </w:tr>
  </w:tbl>
  <w:p w14:paraId="644637A6" w14:textId="77777777" w:rsidR="00E47028" w:rsidRPr="00CF33A2" w:rsidRDefault="00E47028" w:rsidP="005E43D1">
    <w:pPr>
      <w:pStyle w:val="FooterFiller"/>
    </w:pPr>
  </w:p>
  <w:p w14:paraId="74D1CDA4" w14:textId="77777777" w:rsidR="00E47028" w:rsidRPr="00CF33A2" w:rsidRDefault="00E47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B53148" w14:textId="77777777" w:rsidR="00EA0813" w:rsidRDefault="00EA0813">
      <w:pPr>
        <w:spacing w:after="0" w:line="240" w:lineRule="auto"/>
      </w:pPr>
      <w:r>
        <w:separator/>
      </w:r>
    </w:p>
  </w:footnote>
  <w:footnote w:type="continuationSeparator" w:id="0">
    <w:p w14:paraId="643BB40F" w14:textId="77777777" w:rsidR="00EA0813" w:rsidRDefault="00EA0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3AC73" w14:textId="77777777" w:rsidR="00E47028" w:rsidRDefault="004F12C2" w:rsidP="004821E1">
    <w:r>
      <w:rPr>
        <w:noProof/>
      </w:rPr>
      <w:drawing>
        <wp:anchor distT="0" distB="0" distL="114300" distR="114300" simplePos="0" relativeHeight="251658240" behindDoc="1" locked="0" layoutInCell="1" allowOverlap="1" wp14:anchorId="33C6FF80" wp14:editId="74449874">
          <wp:simplePos x="0" y="0"/>
          <wp:positionH relativeFrom="margin">
            <wp:align>left</wp:align>
          </wp:positionH>
          <wp:positionV relativeFrom="paragraph">
            <wp:posOffset>-144780</wp:posOffset>
          </wp:positionV>
          <wp:extent cx="3114675" cy="474497"/>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474497"/>
                  </a:xfrm>
                  <a:prstGeom prst="rect">
                    <a:avLst/>
                  </a:prstGeom>
                </pic:spPr>
              </pic:pic>
            </a:graphicData>
          </a:graphic>
          <wp14:sizeRelH relativeFrom="page">
            <wp14:pctWidth>0</wp14:pctWidth>
          </wp14:sizeRelH>
          <wp14:sizeRelV relativeFrom="page">
            <wp14:pctHeight>0</wp14:pctHeight>
          </wp14:sizeRelV>
        </wp:anchor>
      </w:drawing>
    </w:r>
  </w:p>
  <w:p w14:paraId="106B8974" w14:textId="77777777" w:rsidR="00E47028" w:rsidRDefault="004F12C2" w:rsidP="004821E1">
    <w:r>
      <w:rPr>
        <w:noProof/>
      </w:rPr>
      <mc:AlternateContent>
        <mc:Choice Requires="wps">
          <w:drawing>
            <wp:anchor distT="0" distB="0" distL="114300" distR="114300" simplePos="0" relativeHeight="251659264" behindDoc="0" locked="0" layoutInCell="1" allowOverlap="1" wp14:anchorId="06999ADF" wp14:editId="4DD712E2">
              <wp:simplePos x="0" y="0"/>
              <wp:positionH relativeFrom="margin">
                <wp:posOffset>-8890</wp:posOffset>
              </wp:positionH>
              <wp:positionV relativeFrom="paragraph">
                <wp:posOffset>169545</wp:posOffset>
              </wp:positionV>
              <wp:extent cx="5917565" cy="8890"/>
              <wp:effectExtent l="0" t="0" r="6985" b="10160"/>
              <wp:wrapNone/>
              <wp:docPr id="1" name="Straight Connector 1"/>
              <wp:cNvGraphicFramePr/>
              <a:graphic xmlns:a="http://schemas.openxmlformats.org/drawingml/2006/main">
                <a:graphicData uri="http://schemas.microsoft.com/office/word/2010/wordprocessingShape">
                  <wps:wsp>
                    <wps:cNvCnPr/>
                    <wps:spPr>
                      <a:xfrm>
                        <a:off x="0" y="0"/>
                        <a:ext cx="5917565" cy="8890"/>
                      </a:xfrm>
                      <a:prstGeom prst="line">
                        <a:avLst/>
                      </a:prstGeom>
                      <a:ln>
                        <a:solidFill>
                          <a:schemeClr val="accent4">
                            <a:lumMod val="75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3362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13.35pt" to="465.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" strokecolor="#bf8f00 [2407]"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02287"/>
    <w:multiLevelType w:val="multilevel"/>
    <w:tmpl w:val="7954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AA78EF"/>
    <w:multiLevelType w:val="hybridMultilevel"/>
    <w:tmpl w:val="0012FA86"/>
    <w:lvl w:ilvl="0" w:tplc="EFCCFE2A">
      <w:numFmt w:val="bullet"/>
      <w:lvlText w:val="-"/>
      <w:lvlJc w:val="left"/>
      <w:pPr>
        <w:ind w:left="1080" w:hanging="720"/>
      </w:pPr>
      <w:rPr>
        <w:rFonts w:ascii="Calibri" w:eastAsiaTheme="minorHAnsi" w:hAnsi="Calibri" w:cs="Calibri" w:hint="default"/>
      </w:rPr>
    </w:lvl>
    <w:lvl w:ilvl="1" w:tplc="29F4F3BC" w:tentative="1">
      <w:start w:val="1"/>
      <w:numFmt w:val="bullet"/>
      <w:lvlText w:val="o"/>
      <w:lvlJc w:val="left"/>
      <w:pPr>
        <w:ind w:left="1440" w:hanging="360"/>
      </w:pPr>
      <w:rPr>
        <w:rFonts w:ascii="Courier New" w:hAnsi="Courier New" w:cs="Courier New" w:hint="default"/>
      </w:rPr>
    </w:lvl>
    <w:lvl w:ilvl="2" w:tplc="17509554" w:tentative="1">
      <w:start w:val="1"/>
      <w:numFmt w:val="bullet"/>
      <w:lvlText w:val=""/>
      <w:lvlJc w:val="left"/>
      <w:pPr>
        <w:ind w:left="2160" w:hanging="360"/>
      </w:pPr>
      <w:rPr>
        <w:rFonts w:ascii="Wingdings" w:hAnsi="Wingdings" w:hint="default"/>
      </w:rPr>
    </w:lvl>
    <w:lvl w:ilvl="3" w:tplc="3E1ACCDA" w:tentative="1">
      <w:start w:val="1"/>
      <w:numFmt w:val="bullet"/>
      <w:lvlText w:val=""/>
      <w:lvlJc w:val="left"/>
      <w:pPr>
        <w:ind w:left="2880" w:hanging="360"/>
      </w:pPr>
      <w:rPr>
        <w:rFonts w:ascii="Symbol" w:hAnsi="Symbol" w:hint="default"/>
      </w:rPr>
    </w:lvl>
    <w:lvl w:ilvl="4" w:tplc="74F68290" w:tentative="1">
      <w:start w:val="1"/>
      <w:numFmt w:val="bullet"/>
      <w:lvlText w:val="o"/>
      <w:lvlJc w:val="left"/>
      <w:pPr>
        <w:ind w:left="3600" w:hanging="360"/>
      </w:pPr>
      <w:rPr>
        <w:rFonts w:ascii="Courier New" w:hAnsi="Courier New" w:cs="Courier New" w:hint="default"/>
      </w:rPr>
    </w:lvl>
    <w:lvl w:ilvl="5" w:tplc="3C481FCE" w:tentative="1">
      <w:start w:val="1"/>
      <w:numFmt w:val="bullet"/>
      <w:lvlText w:val=""/>
      <w:lvlJc w:val="left"/>
      <w:pPr>
        <w:ind w:left="4320" w:hanging="360"/>
      </w:pPr>
      <w:rPr>
        <w:rFonts w:ascii="Wingdings" w:hAnsi="Wingdings" w:hint="default"/>
      </w:rPr>
    </w:lvl>
    <w:lvl w:ilvl="6" w:tplc="92B0FFB8" w:tentative="1">
      <w:start w:val="1"/>
      <w:numFmt w:val="bullet"/>
      <w:lvlText w:val=""/>
      <w:lvlJc w:val="left"/>
      <w:pPr>
        <w:ind w:left="5040" w:hanging="360"/>
      </w:pPr>
      <w:rPr>
        <w:rFonts w:ascii="Symbol" w:hAnsi="Symbol" w:hint="default"/>
      </w:rPr>
    </w:lvl>
    <w:lvl w:ilvl="7" w:tplc="D38E9918" w:tentative="1">
      <w:start w:val="1"/>
      <w:numFmt w:val="bullet"/>
      <w:lvlText w:val="o"/>
      <w:lvlJc w:val="left"/>
      <w:pPr>
        <w:ind w:left="5760" w:hanging="360"/>
      </w:pPr>
      <w:rPr>
        <w:rFonts w:ascii="Courier New" w:hAnsi="Courier New" w:cs="Courier New" w:hint="default"/>
      </w:rPr>
    </w:lvl>
    <w:lvl w:ilvl="8" w:tplc="AE384BE0" w:tentative="1">
      <w:start w:val="1"/>
      <w:numFmt w:val="bullet"/>
      <w:lvlText w:val=""/>
      <w:lvlJc w:val="left"/>
      <w:pPr>
        <w:ind w:left="6480" w:hanging="360"/>
      </w:pPr>
      <w:rPr>
        <w:rFonts w:ascii="Wingdings" w:hAnsi="Wingdings" w:hint="default"/>
      </w:rPr>
    </w:lvl>
  </w:abstractNum>
  <w:abstractNum w:abstractNumId="2" w15:restartNumberingAfterBreak="0">
    <w:nsid w:val="68752F8C"/>
    <w:multiLevelType w:val="hybridMultilevel"/>
    <w:tmpl w:val="96327752"/>
    <w:lvl w:ilvl="0" w:tplc="447249D6">
      <w:start w:val="1"/>
      <w:numFmt w:val="bullet"/>
      <w:lvlText w:val=""/>
      <w:lvlJc w:val="left"/>
      <w:pPr>
        <w:ind w:left="720" w:hanging="360"/>
      </w:pPr>
      <w:rPr>
        <w:rFonts w:ascii="Symbol" w:hAnsi="Symbol" w:hint="default"/>
      </w:rPr>
    </w:lvl>
    <w:lvl w:ilvl="1" w:tplc="042A19CC" w:tentative="1">
      <w:start w:val="1"/>
      <w:numFmt w:val="bullet"/>
      <w:lvlText w:val="o"/>
      <w:lvlJc w:val="left"/>
      <w:pPr>
        <w:ind w:left="1440" w:hanging="360"/>
      </w:pPr>
      <w:rPr>
        <w:rFonts w:ascii="Courier New" w:hAnsi="Courier New" w:cs="Courier New" w:hint="default"/>
      </w:rPr>
    </w:lvl>
    <w:lvl w:ilvl="2" w:tplc="E85A733E" w:tentative="1">
      <w:start w:val="1"/>
      <w:numFmt w:val="bullet"/>
      <w:lvlText w:val=""/>
      <w:lvlJc w:val="left"/>
      <w:pPr>
        <w:ind w:left="2160" w:hanging="360"/>
      </w:pPr>
      <w:rPr>
        <w:rFonts w:ascii="Wingdings" w:hAnsi="Wingdings" w:hint="default"/>
      </w:rPr>
    </w:lvl>
    <w:lvl w:ilvl="3" w:tplc="7590A59C" w:tentative="1">
      <w:start w:val="1"/>
      <w:numFmt w:val="bullet"/>
      <w:lvlText w:val=""/>
      <w:lvlJc w:val="left"/>
      <w:pPr>
        <w:ind w:left="2880" w:hanging="360"/>
      </w:pPr>
      <w:rPr>
        <w:rFonts w:ascii="Symbol" w:hAnsi="Symbol" w:hint="default"/>
      </w:rPr>
    </w:lvl>
    <w:lvl w:ilvl="4" w:tplc="BFE092CC" w:tentative="1">
      <w:start w:val="1"/>
      <w:numFmt w:val="bullet"/>
      <w:lvlText w:val="o"/>
      <w:lvlJc w:val="left"/>
      <w:pPr>
        <w:ind w:left="3600" w:hanging="360"/>
      </w:pPr>
      <w:rPr>
        <w:rFonts w:ascii="Courier New" w:hAnsi="Courier New" w:cs="Courier New" w:hint="default"/>
      </w:rPr>
    </w:lvl>
    <w:lvl w:ilvl="5" w:tplc="03984710" w:tentative="1">
      <w:start w:val="1"/>
      <w:numFmt w:val="bullet"/>
      <w:lvlText w:val=""/>
      <w:lvlJc w:val="left"/>
      <w:pPr>
        <w:ind w:left="4320" w:hanging="360"/>
      </w:pPr>
      <w:rPr>
        <w:rFonts w:ascii="Wingdings" w:hAnsi="Wingdings" w:hint="default"/>
      </w:rPr>
    </w:lvl>
    <w:lvl w:ilvl="6" w:tplc="B02CF7A4" w:tentative="1">
      <w:start w:val="1"/>
      <w:numFmt w:val="bullet"/>
      <w:lvlText w:val=""/>
      <w:lvlJc w:val="left"/>
      <w:pPr>
        <w:ind w:left="5040" w:hanging="360"/>
      </w:pPr>
      <w:rPr>
        <w:rFonts w:ascii="Symbol" w:hAnsi="Symbol" w:hint="default"/>
      </w:rPr>
    </w:lvl>
    <w:lvl w:ilvl="7" w:tplc="D1621DE0" w:tentative="1">
      <w:start w:val="1"/>
      <w:numFmt w:val="bullet"/>
      <w:lvlText w:val="o"/>
      <w:lvlJc w:val="left"/>
      <w:pPr>
        <w:ind w:left="5760" w:hanging="360"/>
      </w:pPr>
      <w:rPr>
        <w:rFonts w:ascii="Courier New" w:hAnsi="Courier New" w:cs="Courier New" w:hint="default"/>
      </w:rPr>
    </w:lvl>
    <w:lvl w:ilvl="8" w:tplc="61C407C6" w:tentative="1">
      <w:start w:val="1"/>
      <w:numFmt w:val="bullet"/>
      <w:lvlText w:val=""/>
      <w:lvlJc w:val="left"/>
      <w:pPr>
        <w:ind w:left="6480" w:hanging="360"/>
      </w:pPr>
      <w:rPr>
        <w:rFonts w:ascii="Wingdings" w:hAnsi="Wingdings" w:hint="default"/>
      </w:rPr>
    </w:lvl>
  </w:abstractNum>
  <w:num w:numId="1" w16cid:durableId="429592682">
    <w:abstractNumId w:val="2"/>
  </w:num>
  <w:num w:numId="2" w16cid:durableId="759594864">
    <w:abstractNumId w:val="1"/>
  </w:num>
  <w:num w:numId="3" w16cid:durableId="966276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88A"/>
    <w:rsid w:val="00000A88"/>
    <w:rsid w:val="00021F56"/>
    <w:rsid w:val="00071159"/>
    <w:rsid w:val="000C4899"/>
    <w:rsid w:val="001025C3"/>
    <w:rsid w:val="001065D7"/>
    <w:rsid w:val="00120003"/>
    <w:rsid w:val="00140926"/>
    <w:rsid w:val="00173D66"/>
    <w:rsid w:val="001858D5"/>
    <w:rsid w:val="001A5A0B"/>
    <w:rsid w:val="001B70C7"/>
    <w:rsid w:val="002054F6"/>
    <w:rsid w:val="00207B53"/>
    <w:rsid w:val="00210D47"/>
    <w:rsid w:val="00225355"/>
    <w:rsid w:val="00231C84"/>
    <w:rsid w:val="00267D31"/>
    <w:rsid w:val="00273A32"/>
    <w:rsid w:val="00280B2F"/>
    <w:rsid w:val="002A7795"/>
    <w:rsid w:val="002B384C"/>
    <w:rsid w:val="002C4B1A"/>
    <w:rsid w:val="002D0A08"/>
    <w:rsid w:val="002D3AC9"/>
    <w:rsid w:val="00322903"/>
    <w:rsid w:val="00327AD9"/>
    <w:rsid w:val="003632C9"/>
    <w:rsid w:val="003670EF"/>
    <w:rsid w:val="003769DD"/>
    <w:rsid w:val="00387833"/>
    <w:rsid w:val="003B54F9"/>
    <w:rsid w:val="003C0AAC"/>
    <w:rsid w:val="003C6B3A"/>
    <w:rsid w:val="003D2D47"/>
    <w:rsid w:val="004271BE"/>
    <w:rsid w:val="00445633"/>
    <w:rsid w:val="00453F43"/>
    <w:rsid w:val="004848F7"/>
    <w:rsid w:val="004A27D1"/>
    <w:rsid w:val="004E32DA"/>
    <w:rsid w:val="004E3E62"/>
    <w:rsid w:val="004F12C2"/>
    <w:rsid w:val="00507027"/>
    <w:rsid w:val="0051193E"/>
    <w:rsid w:val="005140B2"/>
    <w:rsid w:val="00517A51"/>
    <w:rsid w:val="00535BAC"/>
    <w:rsid w:val="00536C2B"/>
    <w:rsid w:val="00581316"/>
    <w:rsid w:val="00590CE0"/>
    <w:rsid w:val="005A0858"/>
    <w:rsid w:val="005A7548"/>
    <w:rsid w:val="005B259F"/>
    <w:rsid w:val="005C6748"/>
    <w:rsid w:val="005D048B"/>
    <w:rsid w:val="005D5B2A"/>
    <w:rsid w:val="005E2A2B"/>
    <w:rsid w:val="0060596C"/>
    <w:rsid w:val="006155C8"/>
    <w:rsid w:val="006216F0"/>
    <w:rsid w:val="0062509A"/>
    <w:rsid w:val="00641D72"/>
    <w:rsid w:val="00677A28"/>
    <w:rsid w:val="006A408C"/>
    <w:rsid w:val="006E0770"/>
    <w:rsid w:val="006E143D"/>
    <w:rsid w:val="006E2840"/>
    <w:rsid w:val="006E40B3"/>
    <w:rsid w:val="006E7366"/>
    <w:rsid w:val="00745BA3"/>
    <w:rsid w:val="00767506"/>
    <w:rsid w:val="00770865"/>
    <w:rsid w:val="00773913"/>
    <w:rsid w:val="0077726F"/>
    <w:rsid w:val="00781B05"/>
    <w:rsid w:val="007B2593"/>
    <w:rsid w:val="007C74A8"/>
    <w:rsid w:val="007D1437"/>
    <w:rsid w:val="007E389E"/>
    <w:rsid w:val="008053D4"/>
    <w:rsid w:val="00826925"/>
    <w:rsid w:val="00831BF1"/>
    <w:rsid w:val="0083512D"/>
    <w:rsid w:val="008517AB"/>
    <w:rsid w:val="00891D5B"/>
    <w:rsid w:val="008A1715"/>
    <w:rsid w:val="008A1F09"/>
    <w:rsid w:val="008A3DD7"/>
    <w:rsid w:val="008A40C9"/>
    <w:rsid w:val="008A7238"/>
    <w:rsid w:val="008C2816"/>
    <w:rsid w:val="008D1A79"/>
    <w:rsid w:val="008E56C7"/>
    <w:rsid w:val="008E5E9E"/>
    <w:rsid w:val="00920A5B"/>
    <w:rsid w:val="00937F89"/>
    <w:rsid w:val="00960AA8"/>
    <w:rsid w:val="00960F3E"/>
    <w:rsid w:val="0099630A"/>
    <w:rsid w:val="009B5832"/>
    <w:rsid w:val="009D4CCF"/>
    <w:rsid w:val="009E528D"/>
    <w:rsid w:val="00A00C53"/>
    <w:rsid w:val="00A14747"/>
    <w:rsid w:val="00A2436F"/>
    <w:rsid w:val="00A60323"/>
    <w:rsid w:val="00A711FC"/>
    <w:rsid w:val="00AA7479"/>
    <w:rsid w:val="00AB798F"/>
    <w:rsid w:val="00AC4117"/>
    <w:rsid w:val="00AC6CF0"/>
    <w:rsid w:val="00B01549"/>
    <w:rsid w:val="00B546B5"/>
    <w:rsid w:val="00B8609B"/>
    <w:rsid w:val="00B96301"/>
    <w:rsid w:val="00B96622"/>
    <w:rsid w:val="00BC0B7A"/>
    <w:rsid w:val="00BC7CFF"/>
    <w:rsid w:val="00BE6911"/>
    <w:rsid w:val="00C129B0"/>
    <w:rsid w:val="00C429E8"/>
    <w:rsid w:val="00C45D65"/>
    <w:rsid w:val="00C617E7"/>
    <w:rsid w:val="00C71417"/>
    <w:rsid w:val="00C73AA5"/>
    <w:rsid w:val="00C741CC"/>
    <w:rsid w:val="00C8668E"/>
    <w:rsid w:val="00CA295D"/>
    <w:rsid w:val="00CA57A2"/>
    <w:rsid w:val="00CA685F"/>
    <w:rsid w:val="00CB0FB2"/>
    <w:rsid w:val="00CE7B93"/>
    <w:rsid w:val="00D07D77"/>
    <w:rsid w:val="00D17BF0"/>
    <w:rsid w:val="00D42CFE"/>
    <w:rsid w:val="00D614BD"/>
    <w:rsid w:val="00DA5369"/>
    <w:rsid w:val="00DA633A"/>
    <w:rsid w:val="00DF43E3"/>
    <w:rsid w:val="00E13380"/>
    <w:rsid w:val="00E43D1B"/>
    <w:rsid w:val="00E47028"/>
    <w:rsid w:val="00E81AD5"/>
    <w:rsid w:val="00E90059"/>
    <w:rsid w:val="00EA0813"/>
    <w:rsid w:val="00EA688A"/>
    <w:rsid w:val="00EB6127"/>
    <w:rsid w:val="00F1335C"/>
    <w:rsid w:val="00F27151"/>
    <w:rsid w:val="00F473A4"/>
    <w:rsid w:val="00F51036"/>
    <w:rsid w:val="00F55934"/>
    <w:rsid w:val="00F75639"/>
    <w:rsid w:val="00FC514A"/>
    <w:rsid w:val="00FE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0485"/>
  <w15:docId w15:val="{0D07F3EA-5B4C-AA4C-A4D6-C6259766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647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D17"/>
    <w:pPr>
      <w:ind w:left="720"/>
      <w:contextualSpacing/>
    </w:pPr>
  </w:style>
  <w:style w:type="character" w:customStyle="1" w:styleId="Heading3Char">
    <w:name w:val="Heading 3 Char"/>
    <w:basedOn w:val="DefaultParagraphFont"/>
    <w:link w:val="Heading3"/>
    <w:uiPriority w:val="9"/>
    <w:rsid w:val="00A647F1"/>
    <w:rPr>
      <w:rFonts w:ascii="Times New Roman" w:eastAsia="Times New Roman" w:hAnsi="Times New Roman" w:cs="Times New Roman"/>
      <w:b/>
      <w:bCs/>
      <w:sz w:val="27"/>
      <w:szCs w:val="27"/>
    </w:rPr>
  </w:style>
  <w:style w:type="character" w:styleId="Strong">
    <w:name w:val="Strong"/>
    <w:basedOn w:val="DefaultParagraphFont"/>
    <w:uiPriority w:val="22"/>
    <w:qFormat/>
    <w:rsid w:val="00A647F1"/>
    <w:rPr>
      <w:b/>
      <w:bCs/>
    </w:rPr>
  </w:style>
  <w:style w:type="paragraph" w:styleId="NormalWeb">
    <w:name w:val="Normal (Web)"/>
    <w:basedOn w:val="Normal"/>
    <w:uiPriority w:val="99"/>
    <w:unhideWhenUsed/>
    <w:rsid w:val="00A647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47F1"/>
    <w:rPr>
      <w:color w:val="0000FF"/>
      <w:u w:val="single"/>
    </w:rPr>
  </w:style>
  <w:style w:type="paragraph" w:styleId="Header">
    <w:name w:val="header"/>
    <w:basedOn w:val="Normal"/>
    <w:link w:val="HeaderChar"/>
    <w:uiPriority w:val="99"/>
    <w:unhideWhenUsed/>
    <w:rsid w:val="00482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1E1"/>
  </w:style>
  <w:style w:type="paragraph" w:styleId="Footer">
    <w:name w:val="footer"/>
    <w:basedOn w:val="Normal"/>
    <w:link w:val="FooterChar"/>
    <w:uiPriority w:val="99"/>
    <w:unhideWhenUsed/>
    <w:rsid w:val="00482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1E1"/>
  </w:style>
  <w:style w:type="character" w:styleId="CommentReference">
    <w:name w:val="annotation reference"/>
    <w:basedOn w:val="DefaultParagraphFont"/>
    <w:uiPriority w:val="99"/>
    <w:semiHidden/>
    <w:unhideWhenUsed/>
    <w:rsid w:val="003D23C7"/>
    <w:rPr>
      <w:sz w:val="16"/>
      <w:szCs w:val="16"/>
    </w:rPr>
  </w:style>
  <w:style w:type="paragraph" w:styleId="CommentText">
    <w:name w:val="annotation text"/>
    <w:basedOn w:val="Normal"/>
    <w:link w:val="CommentTextChar"/>
    <w:uiPriority w:val="99"/>
    <w:unhideWhenUsed/>
    <w:rsid w:val="003D23C7"/>
    <w:pPr>
      <w:spacing w:line="240" w:lineRule="auto"/>
    </w:pPr>
    <w:rPr>
      <w:sz w:val="20"/>
      <w:szCs w:val="20"/>
    </w:rPr>
  </w:style>
  <w:style w:type="character" w:customStyle="1" w:styleId="CommentTextChar">
    <w:name w:val="Comment Text Char"/>
    <w:basedOn w:val="DefaultParagraphFont"/>
    <w:link w:val="CommentText"/>
    <w:uiPriority w:val="99"/>
    <w:rsid w:val="003D23C7"/>
    <w:rPr>
      <w:sz w:val="20"/>
      <w:szCs w:val="20"/>
    </w:rPr>
  </w:style>
  <w:style w:type="paragraph" w:styleId="CommentSubject">
    <w:name w:val="annotation subject"/>
    <w:basedOn w:val="CommentText"/>
    <w:next w:val="CommentText"/>
    <w:link w:val="CommentSubjectChar"/>
    <w:uiPriority w:val="99"/>
    <w:semiHidden/>
    <w:unhideWhenUsed/>
    <w:rsid w:val="003D23C7"/>
    <w:rPr>
      <w:b/>
      <w:bCs/>
    </w:rPr>
  </w:style>
  <w:style w:type="character" w:customStyle="1" w:styleId="CommentSubjectChar">
    <w:name w:val="Comment Subject Char"/>
    <w:basedOn w:val="CommentTextChar"/>
    <w:link w:val="CommentSubject"/>
    <w:uiPriority w:val="99"/>
    <w:semiHidden/>
    <w:rsid w:val="003D23C7"/>
    <w:rPr>
      <w:b/>
      <w:bCs/>
      <w:sz w:val="20"/>
      <w:szCs w:val="20"/>
    </w:rPr>
  </w:style>
  <w:style w:type="paragraph" w:styleId="Revision">
    <w:name w:val="Revision"/>
    <w:hidden/>
    <w:uiPriority w:val="99"/>
    <w:semiHidden/>
    <w:rsid w:val="003D23C7"/>
    <w:pPr>
      <w:spacing w:after="0" w:line="240" w:lineRule="auto"/>
    </w:pPr>
  </w:style>
  <w:style w:type="paragraph" w:customStyle="1" w:styleId="10spCenterednospaceafter">
    <w:name w:val="_1.0sp Centered (no space after)"/>
    <w:basedOn w:val="Normal"/>
    <w:rsid w:val="00276230"/>
    <w:pPr>
      <w:suppressAutoHyphens/>
      <w:spacing w:after="0" w:line="240" w:lineRule="auto"/>
      <w:jc w:val="center"/>
    </w:pPr>
    <w:rPr>
      <w:rFonts w:ascii="Times New Roman" w:eastAsia="Times New Roman" w:hAnsi="Times New Roman" w:cs="Times New Roman"/>
      <w:sz w:val="24"/>
      <w:szCs w:val="20"/>
    </w:rPr>
  </w:style>
  <w:style w:type="paragraph" w:customStyle="1" w:styleId="FooterRightAligned">
    <w:name w:val="_Footer Right Aligned"/>
    <w:basedOn w:val="Normal"/>
    <w:rsid w:val="00276230"/>
    <w:pPr>
      <w:suppressAutoHyphens/>
      <w:spacing w:after="0" w:line="240" w:lineRule="auto"/>
      <w:jc w:val="right"/>
    </w:pPr>
    <w:rPr>
      <w:rFonts w:ascii="Times New Roman" w:eastAsia="Times New Roman" w:hAnsi="Times New Roman" w:cs="Times New Roman"/>
      <w:sz w:val="16"/>
      <w:szCs w:val="16"/>
    </w:rPr>
  </w:style>
  <w:style w:type="paragraph" w:customStyle="1" w:styleId="FooterLeftAligned">
    <w:name w:val="_Footer Left Aligned"/>
    <w:basedOn w:val="Normal"/>
    <w:rsid w:val="00276230"/>
    <w:pPr>
      <w:suppressAutoHyphens/>
      <w:spacing w:after="0" w:line="240" w:lineRule="auto"/>
    </w:pPr>
    <w:rPr>
      <w:rFonts w:ascii="Times New Roman" w:eastAsia="Times New Roman" w:hAnsi="Times New Roman" w:cs="Times New Roman"/>
      <w:sz w:val="16"/>
      <w:szCs w:val="16"/>
    </w:rPr>
  </w:style>
  <w:style w:type="paragraph" w:customStyle="1" w:styleId="FooterFiller">
    <w:name w:val="_Footer Filler"/>
    <w:basedOn w:val="Normal"/>
    <w:rsid w:val="00276230"/>
    <w:pPr>
      <w:suppressAutoHyphens/>
      <w:spacing w:after="0" w:line="240" w:lineRule="auto"/>
    </w:pPr>
    <w:rPr>
      <w:rFonts w:ascii="Times New Roman" w:eastAsia="Times New Roman" w:hAnsi="Times New Roman" w:cs="Times New Roman"/>
      <w:sz w:val="4"/>
      <w:szCs w:val="4"/>
    </w:rPr>
  </w:style>
  <w:style w:type="table" w:customStyle="1" w:styleId="TableNoBorders">
    <w:name w:val="_Table No Borders"/>
    <w:basedOn w:val="TableNormal"/>
    <w:rsid w:val="00276230"/>
    <w:pPr>
      <w:spacing w:after="0" w:line="240" w:lineRule="auto"/>
    </w:pPr>
    <w:rPr>
      <w:rFonts w:ascii="Times New Roman" w:eastAsia="Times New Roman" w:hAnsi="Times New Roman" w:cs="Times New Roman"/>
      <w:sz w:val="20"/>
      <w:szCs w:val="20"/>
    </w:rPr>
    <w:tblPr/>
  </w:style>
  <w:style w:type="paragraph" w:customStyle="1" w:styleId="FooterCenterAligned">
    <w:name w:val="_Footer Center Aligned"/>
    <w:basedOn w:val="Normal"/>
    <w:rsid w:val="00276230"/>
    <w:pPr>
      <w:suppressAutoHyphens/>
      <w:spacing w:after="0" w:line="240" w:lineRule="auto"/>
      <w:jc w:val="center"/>
    </w:pPr>
    <w:rPr>
      <w:rFonts w:ascii="Times New Roman" w:eastAsia="Times New Roman" w:hAnsi="Times New Roman" w:cs="Times New Roman"/>
      <w:sz w:val="16"/>
      <w:szCs w:val="20"/>
    </w:rPr>
  </w:style>
  <w:style w:type="paragraph" w:styleId="BalloonText">
    <w:name w:val="Balloon Text"/>
    <w:basedOn w:val="Normal"/>
    <w:link w:val="BalloonTextChar"/>
    <w:uiPriority w:val="99"/>
    <w:semiHidden/>
    <w:unhideWhenUsed/>
    <w:rsid w:val="001B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1935189">
      <w:bodyDiv w:val="1"/>
      <w:marLeft w:val="0"/>
      <w:marRight w:val="0"/>
      <w:marTop w:val="0"/>
      <w:marBottom w:val="0"/>
      <w:divBdr>
        <w:top w:val="none" w:sz="0" w:space="0" w:color="auto"/>
        <w:left w:val="none" w:sz="0" w:space="0" w:color="auto"/>
        <w:bottom w:val="none" w:sz="0" w:space="0" w:color="auto"/>
        <w:right w:val="none" w:sz="0" w:space="0" w:color="auto"/>
      </w:divBdr>
      <w:divsChild>
        <w:div w:id="18508750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mexpetroleu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90D87-F307-4590-8DDE-BDB79BE2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Taillon</dc:creator>
  <cp:lastModifiedBy>morgan fuller</cp:lastModifiedBy>
  <cp:revision>2</cp:revision>
  <dcterms:created xsi:type="dcterms:W3CDTF">2024-05-01T17:54:00Z</dcterms:created>
  <dcterms:modified xsi:type="dcterms:W3CDTF">2024-05-01T17:54:00Z</dcterms:modified>
</cp:coreProperties>
</file>